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5AD2D" w14:textId="0A237069" w:rsidR="00016FE4" w:rsidRDefault="002D5CC7" w:rsidP="00354ABB">
      <w:pPr>
        <w:pStyle w:val="Ttulo1"/>
        <w:ind w:firstLine="0"/>
      </w:pPr>
      <w:r>
        <w:t>Evolução</w:t>
      </w:r>
      <w:r w:rsidR="007E26D1" w:rsidRPr="00657E4C">
        <w:t xml:space="preserve"> de Capacitações Tecnológicas na Indústria do Rio Grande do Sul</w:t>
      </w:r>
      <w:r w:rsidR="003F1F2B">
        <w:t>: 2005</w:t>
      </w:r>
      <w:r w:rsidR="00A45089">
        <w:t>-2014</w:t>
      </w:r>
    </w:p>
    <w:p w14:paraId="7866192B" w14:textId="5BEECE83" w:rsidR="002D5CC7" w:rsidRPr="00431D00" w:rsidRDefault="002D5CC7" w:rsidP="002D5CC7">
      <w:pPr>
        <w:ind w:firstLine="0"/>
        <w:jc w:val="center"/>
        <w:rPr>
          <w:sz w:val="20"/>
          <w:szCs w:val="20"/>
          <w:lang w:val="en-US"/>
        </w:rPr>
      </w:pPr>
      <w:r w:rsidRPr="00431D00">
        <w:rPr>
          <w:sz w:val="20"/>
          <w:szCs w:val="20"/>
          <w:lang w:val="en-US"/>
        </w:rPr>
        <w:t xml:space="preserve">Technological Capabilities Evolution in the Industry of Rio Grande </w:t>
      </w:r>
      <w:proofErr w:type="gramStart"/>
      <w:r w:rsidRPr="00431D00">
        <w:rPr>
          <w:sz w:val="20"/>
          <w:szCs w:val="20"/>
          <w:lang w:val="en-US"/>
        </w:rPr>
        <w:t>do</w:t>
      </w:r>
      <w:proofErr w:type="gramEnd"/>
      <w:r w:rsidRPr="00431D00">
        <w:rPr>
          <w:sz w:val="20"/>
          <w:szCs w:val="20"/>
          <w:lang w:val="en-US"/>
        </w:rPr>
        <w:t xml:space="preserve"> </w:t>
      </w:r>
      <w:proofErr w:type="spellStart"/>
      <w:r w:rsidRPr="00431D00">
        <w:rPr>
          <w:sz w:val="20"/>
          <w:szCs w:val="20"/>
          <w:lang w:val="en-US"/>
        </w:rPr>
        <w:t>Sul</w:t>
      </w:r>
      <w:proofErr w:type="spellEnd"/>
      <w:r w:rsidRPr="00431D00">
        <w:rPr>
          <w:sz w:val="20"/>
          <w:szCs w:val="20"/>
          <w:lang w:val="en-US"/>
        </w:rPr>
        <w:t xml:space="preserve"> (Brazil): 2005-2014</w:t>
      </w:r>
    </w:p>
    <w:p w14:paraId="16D4EEE2" w14:textId="77777777" w:rsidR="0032408B" w:rsidRPr="00431D00" w:rsidRDefault="0032408B" w:rsidP="00F550B2">
      <w:pPr>
        <w:pStyle w:val="Ttulo2"/>
        <w:rPr>
          <w:lang w:val="en-US"/>
        </w:rPr>
      </w:pPr>
    </w:p>
    <w:p w14:paraId="2E761211" w14:textId="77777777" w:rsidR="00657E4C" w:rsidRPr="003566AE" w:rsidRDefault="00657E4C" w:rsidP="00F550B2">
      <w:pPr>
        <w:pStyle w:val="Ttulo2"/>
      </w:pPr>
      <w:r w:rsidRPr="003566AE">
        <w:t>Resumo</w:t>
      </w:r>
    </w:p>
    <w:p w14:paraId="50077E33" w14:textId="7415AEAC" w:rsidR="0041775F" w:rsidRDefault="00573F70" w:rsidP="00657E4C">
      <w:r>
        <w:t>O presente estudo</w:t>
      </w:r>
      <w:r w:rsidR="0091330B">
        <w:t xml:space="preserve"> analisa a evolução do processo de formação de capacitações tecnológicas </w:t>
      </w:r>
      <w:r w:rsidR="003D2737">
        <w:t xml:space="preserve">para inovar </w:t>
      </w:r>
      <w:r w:rsidR="00437A41" w:rsidRPr="007D3B95">
        <w:rPr>
          <w:highlight w:val="green"/>
        </w:rPr>
        <w:t>das</w:t>
      </w:r>
      <w:r w:rsidR="0091330B">
        <w:t xml:space="preserve"> em</w:t>
      </w:r>
      <w:r w:rsidR="00233B3F">
        <w:t xml:space="preserve">presas pertencentes </w:t>
      </w:r>
      <w:proofErr w:type="gramStart"/>
      <w:r w:rsidR="00233B3F">
        <w:t>a</w:t>
      </w:r>
      <w:proofErr w:type="gramEnd"/>
      <w:r w:rsidR="00233B3F">
        <w:t xml:space="preserve"> indústria</w:t>
      </w:r>
      <w:r w:rsidR="0091330B">
        <w:t xml:space="preserve"> do Rio Grande do Sul, no período 2005-2014, comparadas a Estados do Brasil</w:t>
      </w:r>
      <w:r w:rsidR="00233B3F">
        <w:t xml:space="preserve"> </w:t>
      </w:r>
      <w:r w:rsidR="0091330B">
        <w:t>e a países selecionados</w:t>
      </w:r>
      <w:r w:rsidR="00233B3F">
        <w:t xml:space="preserve"> com maior nível de industrialização</w:t>
      </w:r>
      <w:r w:rsidR="0091330B">
        <w:t xml:space="preserve">. </w:t>
      </w:r>
      <w:r w:rsidR="001451DE">
        <w:t xml:space="preserve">As capacitações tecnológicas são fundamentais ao potencial de absorção de conhecimentos e </w:t>
      </w:r>
      <w:r w:rsidR="008C1C5F">
        <w:t xml:space="preserve">de tecnologias e </w:t>
      </w:r>
      <w:r w:rsidR="001451DE">
        <w:t xml:space="preserve">de desenvolvimento de inovações pelas empresas, sendo cruciais à sua competitividade. </w:t>
      </w:r>
      <w:r w:rsidR="008D31DC">
        <w:t>Para o objetivo proposto</w:t>
      </w:r>
      <w:r w:rsidR="00742FE7">
        <w:t xml:space="preserve">, foram construídos indicadores representativos das capacitações tecnológicas das empresas, com base na literatura teórica e em dados de pesquisas de inovação. </w:t>
      </w:r>
      <w:r w:rsidR="00460D69">
        <w:t xml:space="preserve">Os resultados </w:t>
      </w:r>
      <w:r w:rsidR="00742FE7">
        <w:t xml:space="preserve">do estudo permitiram concluir que tanto na indústria do Rio Grande do Sul quanto na do Brasil, </w:t>
      </w:r>
      <w:r w:rsidR="009015F9" w:rsidRPr="009015F9">
        <w:rPr>
          <w:highlight w:val="green"/>
        </w:rPr>
        <w:t>em geral,</w:t>
      </w:r>
      <w:r w:rsidR="009015F9">
        <w:t xml:space="preserve"> </w:t>
      </w:r>
      <w:r w:rsidR="00742FE7">
        <w:t xml:space="preserve">as empresas demonstraram ganhos </w:t>
      </w:r>
      <w:r w:rsidR="009015F9" w:rsidRPr="009015F9">
        <w:rPr>
          <w:highlight w:val="green"/>
        </w:rPr>
        <w:t>quantitativos e qualitativos</w:t>
      </w:r>
      <w:r w:rsidR="009015F9">
        <w:t xml:space="preserve"> </w:t>
      </w:r>
      <w:r w:rsidR="00742FE7">
        <w:t>de capacitações tecnológicas nas três dimensões consideradas: recursos financeiros, recursos humanos e infraestrutura</w:t>
      </w:r>
      <w:r w:rsidR="003D2737">
        <w:t xml:space="preserve"> à P&amp;D</w:t>
      </w:r>
      <w:r w:rsidR="00742FE7">
        <w:t>. Inclusive, que essa elevaçã</w:t>
      </w:r>
      <w:r w:rsidR="00954FBA">
        <w:t>o ocorreu</w:t>
      </w:r>
      <w:r w:rsidR="00742FE7">
        <w:t xml:space="preserve"> com mais intensidade no Estado</w:t>
      </w:r>
      <w:r w:rsidR="003D2737">
        <w:t xml:space="preserve"> do que na média da indústria nacional</w:t>
      </w:r>
      <w:r w:rsidR="00742FE7">
        <w:t xml:space="preserve">. </w:t>
      </w:r>
      <w:r w:rsidR="009015F9">
        <w:rPr>
          <w:highlight w:val="green"/>
        </w:rPr>
        <w:t>Entretanto</w:t>
      </w:r>
      <w:r w:rsidR="00081670" w:rsidRPr="007D3B95">
        <w:rPr>
          <w:highlight w:val="green"/>
        </w:rPr>
        <w:t>, quando comparadas</w:t>
      </w:r>
      <w:r w:rsidR="000672AC" w:rsidRPr="007D3B95">
        <w:rPr>
          <w:highlight w:val="green"/>
        </w:rPr>
        <w:t xml:space="preserve"> </w:t>
      </w:r>
      <w:r w:rsidR="00081670" w:rsidRPr="007D3B95">
        <w:rPr>
          <w:highlight w:val="green"/>
        </w:rPr>
        <w:t xml:space="preserve">com as congêneres de </w:t>
      </w:r>
      <w:r w:rsidR="000672AC" w:rsidRPr="007D3B95">
        <w:rPr>
          <w:highlight w:val="green"/>
        </w:rPr>
        <w:t>ou</w:t>
      </w:r>
      <w:r w:rsidR="00081670" w:rsidRPr="007D3B95">
        <w:rPr>
          <w:highlight w:val="green"/>
        </w:rPr>
        <w:t xml:space="preserve">tras nações industrializadas, seus esforços tecnológicos </w:t>
      </w:r>
      <w:r w:rsidR="000672AC" w:rsidRPr="007D3B95">
        <w:rPr>
          <w:highlight w:val="green"/>
        </w:rPr>
        <w:t>ain</w:t>
      </w:r>
      <w:r w:rsidR="00725D5B">
        <w:rPr>
          <w:highlight w:val="green"/>
        </w:rPr>
        <w:t>da são notadamente limitados</w:t>
      </w:r>
      <w:r w:rsidR="000672AC" w:rsidRPr="007D3B95">
        <w:rPr>
          <w:highlight w:val="green"/>
        </w:rPr>
        <w:t>, carecendo de intensificação.</w:t>
      </w:r>
    </w:p>
    <w:p w14:paraId="029FE754" w14:textId="5A72D07A" w:rsidR="00657E4C" w:rsidRDefault="0041775F" w:rsidP="0041775F">
      <w:pPr>
        <w:ind w:firstLine="0"/>
      </w:pPr>
      <w:r w:rsidRPr="0041775F">
        <w:rPr>
          <w:b/>
        </w:rPr>
        <w:t>Palavras-Chave:</w:t>
      </w:r>
      <w:r>
        <w:t xml:space="preserve"> Capacitações Tecnológicas – </w:t>
      </w:r>
      <w:r w:rsidR="00C00BF7">
        <w:t xml:space="preserve">Indicadores de </w:t>
      </w:r>
      <w:r>
        <w:t>Inovação –</w:t>
      </w:r>
      <w:r w:rsidR="00C00BF7">
        <w:t xml:space="preserve"> </w:t>
      </w:r>
      <w:r w:rsidR="00C753BC">
        <w:t xml:space="preserve">Indústria </w:t>
      </w:r>
      <w:r w:rsidR="00C00BF7">
        <w:t>do</w:t>
      </w:r>
      <w:r>
        <w:t xml:space="preserve"> Rio Grande</w:t>
      </w:r>
      <w:r w:rsidR="00C753BC">
        <w:t xml:space="preserve"> do Sul e </w:t>
      </w:r>
      <w:r w:rsidR="00C00BF7">
        <w:t xml:space="preserve">do </w:t>
      </w:r>
      <w:r>
        <w:t>Brasil</w:t>
      </w:r>
    </w:p>
    <w:p w14:paraId="5177C764" w14:textId="5856BEF5" w:rsidR="00E73E72" w:rsidRDefault="00E73E72" w:rsidP="0041775F">
      <w:pPr>
        <w:ind w:firstLine="0"/>
      </w:pPr>
      <w:r w:rsidRPr="00313677">
        <w:rPr>
          <w:b/>
        </w:rPr>
        <w:t>Classificação JEL:</w:t>
      </w:r>
      <w:r>
        <w:t xml:space="preserve"> </w:t>
      </w:r>
      <w:r w:rsidR="00CC6F9D">
        <w:t>L60 – O30 – O32 – O54</w:t>
      </w:r>
    </w:p>
    <w:p w14:paraId="4B7A2A20" w14:textId="77777777" w:rsidR="00657E4C" w:rsidRPr="00431D00" w:rsidRDefault="00657E4C" w:rsidP="00F550B2">
      <w:pPr>
        <w:pStyle w:val="Ttulo2"/>
        <w:rPr>
          <w:lang w:val="en-US"/>
        </w:rPr>
      </w:pPr>
      <w:r w:rsidRPr="00431D00">
        <w:rPr>
          <w:lang w:val="en-US"/>
        </w:rPr>
        <w:t>Abstract</w:t>
      </w:r>
    </w:p>
    <w:p w14:paraId="28AEF8B4" w14:textId="76E29E1F" w:rsidR="00657E4C" w:rsidRDefault="00573F70" w:rsidP="00657E4C">
      <w:pPr>
        <w:rPr>
          <w:lang w:val="en-US"/>
        </w:rPr>
      </w:pPr>
      <w:r w:rsidRPr="00CC6872">
        <w:rPr>
          <w:lang w:val="en-US"/>
        </w:rPr>
        <w:t>This study analyses the process of evolution in technological capabilities f</w:t>
      </w:r>
      <w:r w:rsidR="00266C57">
        <w:rPr>
          <w:lang w:val="en-US"/>
        </w:rPr>
        <w:t>ormation to innovate of industrial</w:t>
      </w:r>
      <w:r w:rsidRPr="00CC6872">
        <w:rPr>
          <w:lang w:val="en-US"/>
        </w:rPr>
        <w:t xml:space="preserve"> enterprises of Rio Grande do </w:t>
      </w:r>
      <w:proofErr w:type="spellStart"/>
      <w:r w:rsidRPr="00CC6872">
        <w:rPr>
          <w:lang w:val="en-US"/>
        </w:rPr>
        <w:t>Sul</w:t>
      </w:r>
      <w:proofErr w:type="spellEnd"/>
      <w:r w:rsidRPr="00CC6872">
        <w:rPr>
          <w:lang w:val="en-US"/>
        </w:rPr>
        <w:t xml:space="preserve">, compared to other industrialized states of Brazil and selected countries in the period 2005-2014. </w:t>
      </w:r>
      <w:r w:rsidR="00CC6872" w:rsidRPr="00CC6872">
        <w:rPr>
          <w:lang w:val="en-US"/>
        </w:rPr>
        <w:t>The technological capabilities are of fundamental importance to the potential of knowledge</w:t>
      </w:r>
      <w:r w:rsidR="007E7F89">
        <w:rPr>
          <w:lang w:val="en-US"/>
        </w:rPr>
        <w:t xml:space="preserve"> and technology</w:t>
      </w:r>
      <w:r w:rsidR="00CC6872" w:rsidRPr="00CC6872">
        <w:rPr>
          <w:lang w:val="en-US"/>
        </w:rPr>
        <w:t xml:space="preserve"> absorption </w:t>
      </w:r>
      <w:r w:rsidR="00CC6872">
        <w:rPr>
          <w:lang w:val="en-US"/>
        </w:rPr>
        <w:t xml:space="preserve">and of innovation development by firms, being crucial for their </w:t>
      </w:r>
      <w:r w:rsidR="00922EE2">
        <w:rPr>
          <w:lang w:val="en-US"/>
        </w:rPr>
        <w:t>competitive capacity</w:t>
      </w:r>
      <w:r w:rsidR="00CC6872">
        <w:rPr>
          <w:lang w:val="en-US"/>
        </w:rPr>
        <w:t>.</w:t>
      </w:r>
      <w:r w:rsidRPr="00CC6872">
        <w:rPr>
          <w:lang w:val="en-US"/>
        </w:rPr>
        <w:t xml:space="preserve"> </w:t>
      </w:r>
      <w:r w:rsidR="008D31DC">
        <w:rPr>
          <w:lang w:val="en-US"/>
        </w:rPr>
        <w:t xml:space="preserve">For the proposed objective, it has been elaborated indicators to represent the technological capabilities of enterprises, based on the theoretical </w:t>
      </w:r>
      <w:r w:rsidR="00C91FBF">
        <w:rPr>
          <w:lang w:val="en-US"/>
        </w:rPr>
        <w:t>literature and in data from innovation researches. The results of this study have permitted to conclude that</w:t>
      </w:r>
      <w:r w:rsidR="00E555C2">
        <w:rPr>
          <w:lang w:val="en-US"/>
        </w:rPr>
        <w:t>, in general,</w:t>
      </w:r>
      <w:r w:rsidR="00C91FBF">
        <w:rPr>
          <w:lang w:val="en-US"/>
        </w:rPr>
        <w:t xml:space="preserve"> in the industry of Rio Grande do </w:t>
      </w:r>
      <w:proofErr w:type="spellStart"/>
      <w:r w:rsidR="00C91FBF">
        <w:rPr>
          <w:lang w:val="en-US"/>
        </w:rPr>
        <w:t>Sul</w:t>
      </w:r>
      <w:proofErr w:type="spellEnd"/>
      <w:r w:rsidR="00C91FBF">
        <w:rPr>
          <w:lang w:val="en-US"/>
        </w:rPr>
        <w:t xml:space="preserve"> as well as in that of Brazil</w:t>
      </w:r>
      <w:r w:rsidR="00D10D6E">
        <w:rPr>
          <w:lang w:val="en-US"/>
        </w:rPr>
        <w:t>, the enterprises demonstrated to have gained technological capabilities</w:t>
      </w:r>
      <w:r w:rsidR="00E555C2">
        <w:rPr>
          <w:lang w:val="en-US"/>
        </w:rPr>
        <w:t>,</w:t>
      </w:r>
      <w:r w:rsidR="00D10D6E">
        <w:rPr>
          <w:lang w:val="en-US"/>
        </w:rPr>
        <w:t xml:space="preserve"> </w:t>
      </w:r>
      <w:r w:rsidR="00E555C2" w:rsidRPr="00E555C2">
        <w:rPr>
          <w:highlight w:val="green"/>
          <w:lang w:val="en-US"/>
        </w:rPr>
        <w:t>quantitative and qualitative</w:t>
      </w:r>
      <w:r w:rsidR="00E555C2">
        <w:rPr>
          <w:lang w:val="en-US"/>
        </w:rPr>
        <w:t xml:space="preserve">, </w:t>
      </w:r>
      <w:r w:rsidR="00D10D6E">
        <w:rPr>
          <w:lang w:val="en-US"/>
        </w:rPr>
        <w:t xml:space="preserve">in the three dimensions </w:t>
      </w:r>
      <w:r w:rsidR="00D10D6E">
        <w:rPr>
          <w:lang w:val="en-US"/>
        </w:rPr>
        <w:lastRenderedPageBreak/>
        <w:t>considered: financial resources, human resources and infrastructure to R&amp;D.</w:t>
      </w:r>
      <w:r w:rsidR="00B943F2">
        <w:rPr>
          <w:lang w:val="en-US"/>
        </w:rPr>
        <w:t xml:space="preserve"> Also, this increase has occurred with more intensity in the state than in the national industrial average.</w:t>
      </w:r>
      <w:r w:rsidR="00C91FBF">
        <w:rPr>
          <w:lang w:val="en-US"/>
        </w:rPr>
        <w:t xml:space="preserve"> </w:t>
      </w:r>
      <w:r w:rsidR="00FC5D72" w:rsidRPr="00E555C2">
        <w:rPr>
          <w:highlight w:val="green"/>
          <w:lang w:val="en-US"/>
        </w:rPr>
        <w:t xml:space="preserve">However, </w:t>
      </w:r>
      <w:r w:rsidR="003D052C" w:rsidRPr="00E555C2">
        <w:rPr>
          <w:highlight w:val="green"/>
          <w:lang w:val="en-US"/>
        </w:rPr>
        <w:t xml:space="preserve">when </w:t>
      </w:r>
      <w:r w:rsidR="003D052C" w:rsidRPr="007D3B95">
        <w:rPr>
          <w:highlight w:val="green"/>
          <w:lang w:val="en-US"/>
        </w:rPr>
        <w:t>compared with the counterparts of other industrialized nations, their technological effort</w:t>
      </w:r>
      <w:r w:rsidR="00725D5B">
        <w:rPr>
          <w:highlight w:val="green"/>
          <w:lang w:val="en-US"/>
        </w:rPr>
        <w:t>s are still notably limited</w:t>
      </w:r>
      <w:r w:rsidR="003D052C" w:rsidRPr="007D3B95">
        <w:rPr>
          <w:highlight w:val="green"/>
          <w:lang w:val="en-US"/>
        </w:rPr>
        <w:t>, lacking intensification.</w:t>
      </w:r>
    </w:p>
    <w:p w14:paraId="4A5AD575" w14:textId="6FBA1B64" w:rsidR="003A15A0" w:rsidRDefault="003A15A0" w:rsidP="003A15A0">
      <w:pPr>
        <w:ind w:firstLine="0"/>
        <w:rPr>
          <w:lang w:val="en-US"/>
        </w:rPr>
      </w:pPr>
      <w:r w:rsidRPr="003A15A0">
        <w:rPr>
          <w:b/>
          <w:lang w:val="en-US"/>
        </w:rPr>
        <w:t>Key-words:</w:t>
      </w:r>
      <w:r>
        <w:rPr>
          <w:lang w:val="en-US"/>
        </w:rPr>
        <w:t xml:space="preserve"> Technological Capabilities – Innovation Indicators – Industry of Rio Grande do </w:t>
      </w:r>
      <w:proofErr w:type="spellStart"/>
      <w:r>
        <w:rPr>
          <w:lang w:val="en-US"/>
        </w:rPr>
        <w:t>Sul</w:t>
      </w:r>
      <w:proofErr w:type="spellEnd"/>
      <w:r>
        <w:rPr>
          <w:lang w:val="en-US"/>
        </w:rPr>
        <w:t xml:space="preserve"> and of Brazil</w:t>
      </w:r>
    </w:p>
    <w:p w14:paraId="2FF54F95" w14:textId="56878C34" w:rsidR="00313677" w:rsidRPr="00431D00" w:rsidRDefault="00313677" w:rsidP="003A15A0">
      <w:pPr>
        <w:ind w:firstLine="0"/>
      </w:pPr>
      <w:r w:rsidRPr="00431D00">
        <w:rPr>
          <w:b/>
        </w:rPr>
        <w:t xml:space="preserve">JEL </w:t>
      </w:r>
      <w:proofErr w:type="spellStart"/>
      <w:r w:rsidRPr="00431D00">
        <w:rPr>
          <w:b/>
        </w:rPr>
        <w:t>Classification</w:t>
      </w:r>
      <w:proofErr w:type="spellEnd"/>
      <w:r w:rsidRPr="00431D00">
        <w:rPr>
          <w:b/>
        </w:rPr>
        <w:t>:</w:t>
      </w:r>
      <w:r w:rsidRPr="00431D00">
        <w:t xml:space="preserve"> </w:t>
      </w:r>
      <w:r>
        <w:t>L60 – O30 – O32 – O54</w:t>
      </w:r>
    </w:p>
    <w:p w14:paraId="5B87CB29" w14:textId="77777777" w:rsidR="00657E4C" w:rsidRPr="00890A55" w:rsidRDefault="00657E4C" w:rsidP="00F550B2">
      <w:pPr>
        <w:pStyle w:val="Ttulo2"/>
      </w:pPr>
      <w:r w:rsidRPr="00890A55">
        <w:t>Introdução</w:t>
      </w:r>
    </w:p>
    <w:p w14:paraId="6E74451A" w14:textId="19605600" w:rsidR="00A5380C" w:rsidRDefault="00AF335E" w:rsidP="00C0160D">
      <w:r>
        <w:t>O objetivo</w:t>
      </w:r>
      <w:r w:rsidR="00160AE8">
        <w:t xml:space="preserve"> deste estudo é o de averigua</w:t>
      </w:r>
      <w:r w:rsidR="00372CA3">
        <w:t>r a evolução</w:t>
      </w:r>
      <w:r w:rsidR="00A45089">
        <w:t xml:space="preserve"> do processo</w:t>
      </w:r>
      <w:r w:rsidR="00160AE8">
        <w:t xml:space="preserve"> de formação de capacita</w:t>
      </w:r>
      <w:r w:rsidR="00681EBF">
        <w:t xml:space="preserve">ções tecnológicas </w:t>
      </w:r>
      <w:r w:rsidR="00681EBF" w:rsidRPr="007D3B95">
        <w:rPr>
          <w:highlight w:val="green"/>
        </w:rPr>
        <w:t>das</w:t>
      </w:r>
      <w:r w:rsidR="002255B9">
        <w:t xml:space="preserve"> empresas </w:t>
      </w:r>
      <w:r w:rsidR="00160AE8">
        <w:t>pertencentes às indústrias extrativas e de transformação</w:t>
      </w:r>
      <w:r w:rsidR="002255B9">
        <w:rPr>
          <w:rStyle w:val="Refdenotaderodap"/>
        </w:rPr>
        <w:footnoteReference w:id="1"/>
      </w:r>
      <w:r w:rsidR="002255B9">
        <w:t xml:space="preserve"> </w:t>
      </w:r>
      <w:r w:rsidR="00884FC8">
        <w:t>n</w:t>
      </w:r>
      <w:r w:rsidR="00160AE8">
        <w:t>o R</w:t>
      </w:r>
      <w:r w:rsidR="003B3C6E">
        <w:t>io Grande do Sul</w:t>
      </w:r>
      <w:r w:rsidR="002255B9">
        <w:t>,</w:t>
      </w:r>
      <w:r w:rsidR="003B3C6E">
        <w:t xml:space="preserve"> no período 2005</w:t>
      </w:r>
      <w:r w:rsidR="00160AE8">
        <w:t xml:space="preserve">-2014. </w:t>
      </w:r>
      <w:r w:rsidR="00285D0A">
        <w:t>A</w:t>
      </w:r>
      <w:r w:rsidR="00EA12E2">
        <w:t>s capacitações</w:t>
      </w:r>
      <w:r w:rsidR="00175FAB">
        <w:t xml:space="preserve"> tecn</w:t>
      </w:r>
      <w:r w:rsidR="00EA12E2">
        <w:t>ológicas</w:t>
      </w:r>
      <w:r w:rsidR="00496452">
        <w:t xml:space="preserve"> </w:t>
      </w:r>
      <w:r w:rsidR="00EA12E2">
        <w:t>formam</w:t>
      </w:r>
      <w:r w:rsidR="00285D0A">
        <w:t xml:space="preserve"> a base d</w:t>
      </w:r>
      <w:r w:rsidR="000C3F15">
        <w:t>o potencial de absorção de conhecimentos e de</w:t>
      </w:r>
      <w:r w:rsidR="00175FAB">
        <w:t xml:space="preserve"> desenvolvimento de inovações</w:t>
      </w:r>
      <w:r w:rsidR="0012271A">
        <w:t>,</w:t>
      </w:r>
      <w:r w:rsidR="001B4F9C">
        <w:t xml:space="preserve"> </w:t>
      </w:r>
      <w:r w:rsidR="0012271A">
        <w:t xml:space="preserve">sendo a principal fonte de </w:t>
      </w:r>
      <w:r w:rsidR="001B4F9C">
        <w:t>competitividade</w:t>
      </w:r>
      <w:r w:rsidR="0012271A">
        <w:t xml:space="preserve"> das firmas</w:t>
      </w:r>
      <w:r w:rsidR="00175FAB">
        <w:t xml:space="preserve">. </w:t>
      </w:r>
      <w:r w:rsidR="009C240E">
        <w:t>Os</w:t>
      </w:r>
      <w:r w:rsidR="00A5380C">
        <w:t xml:space="preserve"> </w:t>
      </w:r>
      <w:r w:rsidR="00427655">
        <w:t>condicionantes da formação de capacitações tecnológicas pelas empresas</w:t>
      </w:r>
      <w:r w:rsidR="009C240E">
        <w:t xml:space="preserve"> são variados</w:t>
      </w:r>
      <w:r w:rsidR="00427655">
        <w:t xml:space="preserve">, </w:t>
      </w:r>
      <w:r w:rsidR="00A5380C">
        <w:t>tais como investimentos em P&amp;D, qualificação de recursos humanos, políticas públicas, conjuntura econômica, etc.</w:t>
      </w:r>
      <w:r w:rsidR="002D4385">
        <w:t xml:space="preserve"> Destaque-se que a pa</w:t>
      </w:r>
      <w:r w:rsidR="008F5E80">
        <w:t>rtir de 2003, as polít</w:t>
      </w:r>
      <w:r w:rsidR="00E44A92">
        <w:t xml:space="preserve">icas industriais e de ciência, </w:t>
      </w:r>
      <w:r w:rsidR="004243EA">
        <w:t>tecnologia</w:t>
      </w:r>
      <w:r w:rsidR="00E44A92">
        <w:t xml:space="preserve"> e inovação (CT&amp;I)</w:t>
      </w:r>
      <w:r w:rsidR="004243EA">
        <w:t xml:space="preserve"> no Brasil com </w:t>
      </w:r>
      <w:r w:rsidR="008F5E80">
        <w:t xml:space="preserve">foco no apoio </w:t>
      </w:r>
      <w:r w:rsidR="004243EA">
        <w:t xml:space="preserve">à inovação nas empresas, </w:t>
      </w:r>
      <w:r w:rsidR="008F5E80">
        <w:t>que até então eram esparsas, ganharam cent</w:t>
      </w:r>
      <w:r w:rsidR="004243EA">
        <w:t>ralidade como estratégia de desenvolvimento econômico, sendo intensificadas até 2014</w:t>
      </w:r>
      <w:r w:rsidR="006B6646">
        <w:t xml:space="preserve"> (</w:t>
      </w:r>
      <w:r w:rsidR="006B6646" w:rsidRPr="00CF7B1E">
        <w:rPr>
          <w:caps/>
        </w:rPr>
        <w:t>Mazzucato; Penna</w:t>
      </w:r>
      <w:r w:rsidR="00CF7B1E">
        <w:t>, 2016;</w:t>
      </w:r>
      <w:r w:rsidR="006B6646" w:rsidRPr="006B6646">
        <w:t xml:space="preserve"> </w:t>
      </w:r>
      <w:r w:rsidR="006B6646" w:rsidRPr="00CF7B1E">
        <w:rPr>
          <w:caps/>
        </w:rPr>
        <w:t>Rapini; Chiarini; Bittencourt</w:t>
      </w:r>
      <w:r w:rsidR="00CF7B1E">
        <w:t xml:space="preserve">, </w:t>
      </w:r>
      <w:r w:rsidR="006B6646" w:rsidRPr="006B6646">
        <w:t>2017</w:t>
      </w:r>
      <w:proofErr w:type="gramStart"/>
      <w:r w:rsidR="006B6646" w:rsidRPr="006B6646">
        <w:t>)</w:t>
      </w:r>
      <w:proofErr w:type="gramEnd"/>
      <w:r w:rsidR="008F01FB">
        <w:rPr>
          <w:rStyle w:val="Refdenotaderodap"/>
        </w:rPr>
        <w:footnoteReference w:id="2"/>
      </w:r>
      <w:r w:rsidR="004243EA">
        <w:t>.</w:t>
      </w:r>
      <w:r w:rsidR="00686988">
        <w:t xml:space="preserve"> Similarmente</w:t>
      </w:r>
      <w:r w:rsidR="00A357A7">
        <w:t>,</w:t>
      </w:r>
      <w:r w:rsidR="00BF6BFD">
        <w:t xml:space="preserve"> </w:t>
      </w:r>
      <w:r w:rsidR="004D7606">
        <w:t>esse</w:t>
      </w:r>
      <w:r w:rsidR="00A357A7">
        <w:t xml:space="preserve"> </w:t>
      </w:r>
      <w:r w:rsidR="00BF6BFD">
        <w:t>período també</w:t>
      </w:r>
      <w:r w:rsidR="00C41EE6">
        <w:t xml:space="preserve">m exibiu ações de fomento à inovação sendo intensificadas pelos governos de </w:t>
      </w:r>
      <w:r w:rsidR="00C41EE6" w:rsidRPr="005E0C2E">
        <w:t>alguns Estados, incluindo-se aí o Rio Grande do Sul</w:t>
      </w:r>
      <w:r w:rsidR="00902347" w:rsidRPr="005E0C2E">
        <w:rPr>
          <w:rStyle w:val="Refdenotaderodap"/>
        </w:rPr>
        <w:footnoteReference w:id="3"/>
      </w:r>
      <w:r w:rsidR="00686988" w:rsidRPr="005E0C2E">
        <w:t xml:space="preserve"> desde 1999</w:t>
      </w:r>
      <w:r w:rsidR="00AF51EE" w:rsidRPr="005E0C2E">
        <w:t>, sobretudo, nos últimos anos</w:t>
      </w:r>
      <w:r w:rsidR="00C41EE6" w:rsidRPr="005E0C2E">
        <w:t>.</w:t>
      </w:r>
      <w:r w:rsidR="00C0160D" w:rsidRPr="005E0C2E">
        <w:t xml:space="preserve"> Também releva</w:t>
      </w:r>
      <w:r w:rsidR="004D3D17" w:rsidRPr="005E0C2E">
        <w:t xml:space="preserve"> assinalar que </w:t>
      </w:r>
      <w:r w:rsidR="00ED06F1" w:rsidRPr="005E0C2E">
        <w:t xml:space="preserve">entre 2005 e 2014, o Brasil passou por </w:t>
      </w:r>
      <w:r w:rsidR="00C0160D" w:rsidRPr="005E0C2E">
        <w:t>momentos conjunturais</w:t>
      </w:r>
      <w:r w:rsidR="00ED06F1" w:rsidRPr="005E0C2E">
        <w:t xml:space="preserve"> </w:t>
      </w:r>
      <w:r w:rsidR="00ED06F1" w:rsidRPr="002A5413">
        <w:rPr>
          <w:highlight w:val="green"/>
        </w:rPr>
        <w:t xml:space="preserve">de </w:t>
      </w:r>
      <w:r w:rsidR="002A5413" w:rsidRPr="002A5413">
        <w:rPr>
          <w:highlight w:val="green"/>
        </w:rPr>
        <w:t>incertezas e de dificuldades</w:t>
      </w:r>
      <w:r w:rsidR="00ED06F1" w:rsidRPr="002A5413">
        <w:rPr>
          <w:highlight w:val="green"/>
        </w:rPr>
        <w:t xml:space="preserve"> econômica</w:t>
      </w:r>
      <w:r w:rsidR="002A5413" w:rsidRPr="002A5413">
        <w:rPr>
          <w:highlight w:val="green"/>
        </w:rPr>
        <w:t>s</w:t>
      </w:r>
      <w:r w:rsidR="00ED06F1">
        <w:t>, afetando negativamente as decisões empresariais de investimento</w:t>
      </w:r>
      <w:r w:rsidR="00A0596E">
        <w:t xml:space="preserve"> </w:t>
      </w:r>
      <w:r w:rsidR="00A0596E" w:rsidRPr="00A0596E">
        <w:rPr>
          <w:highlight w:val="green"/>
        </w:rPr>
        <w:t>na indústria</w:t>
      </w:r>
      <w:r w:rsidR="00F51793">
        <w:t xml:space="preserve">, inclusive </w:t>
      </w:r>
      <w:r w:rsidR="00C0160D">
        <w:t>e</w:t>
      </w:r>
      <w:r w:rsidR="00F51793">
        <w:t>m</w:t>
      </w:r>
      <w:r w:rsidR="00C0160D">
        <w:t xml:space="preserve"> P&amp;D</w:t>
      </w:r>
      <w:r w:rsidR="00F51793">
        <w:t xml:space="preserve">, </w:t>
      </w:r>
      <w:r w:rsidR="00F51793" w:rsidRPr="00E55C49">
        <w:rPr>
          <w:highlight w:val="green"/>
        </w:rPr>
        <w:t>em</w:t>
      </w:r>
      <w:r w:rsidR="00292EBB" w:rsidRPr="00E55C49">
        <w:rPr>
          <w:highlight w:val="green"/>
        </w:rPr>
        <w:t xml:space="preserve"> 2009</w:t>
      </w:r>
      <w:r w:rsidR="00F51793" w:rsidRPr="00E55C49">
        <w:rPr>
          <w:highlight w:val="green"/>
        </w:rPr>
        <w:t>-2011</w:t>
      </w:r>
      <w:r w:rsidR="00F55895" w:rsidRPr="00E55C49">
        <w:rPr>
          <w:highlight w:val="green"/>
        </w:rPr>
        <w:t xml:space="preserve"> e </w:t>
      </w:r>
      <w:r w:rsidR="00F51793" w:rsidRPr="00E55C49">
        <w:rPr>
          <w:highlight w:val="green"/>
        </w:rPr>
        <w:t xml:space="preserve">em </w:t>
      </w:r>
      <w:r w:rsidR="00F55895" w:rsidRPr="00E55C49">
        <w:rPr>
          <w:highlight w:val="green"/>
        </w:rPr>
        <w:t>2013-2014</w:t>
      </w:r>
      <w:r w:rsidR="00F55895" w:rsidRPr="00F44B07">
        <w:t xml:space="preserve"> (IBGE, 2013; 2016).</w:t>
      </w:r>
      <w:r w:rsidR="00ED06F1">
        <w:t xml:space="preserve"> </w:t>
      </w:r>
      <w:r w:rsidR="00E25F86">
        <w:t xml:space="preserve">Nesse contexto, o </w:t>
      </w:r>
      <w:r w:rsidR="00306F52">
        <w:t>estudo se propõe a avaliar</w:t>
      </w:r>
      <w:r w:rsidR="00A5380C">
        <w:t xml:space="preserve"> </w:t>
      </w:r>
      <w:r w:rsidR="00A5380C">
        <w:lastRenderedPageBreak/>
        <w:t>como têm sido o comportamento das cap</w:t>
      </w:r>
      <w:r w:rsidR="00ED06F1">
        <w:t>acitações tecnológicas das empresas</w:t>
      </w:r>
      <w:r w:rsidR="00E25F86">
        <w:t xml:space="preserve"> industriais gaúchas no</w:t>
      </w:r>
      <w:r w:rsidR="002C745F">
        <w:t xml:space="preserve"> período</w:t>
      </w:r>
      <w:r w:rsidR="00E25F86">
        <w:t xml:space="preserve"> 2005-2014</w:t>
      </w:r>
      <w:r w:rsidR="006C16BE">
        <w:rPr>
          <w:rStyle w:val="Refdenotaderodap"/>
        </w:rPr>
        <w:footnoteReference w:id="4"/>
      </w:r>
      <w:r w:rsidR="002C745F">
        <w:t>.</w:t>
      </w:r>
    </w:p>
    <w:p w14:paraId="4047831C" w14:textId="3D431488" w:rsidR="005E5053" w:rsidRPr="005B5BBC" w:rsidRDefault="007726C5" w:rsidP="003B7CF9">
      <w:r>
        <w:t>Os fundamentos teóricos da análise estão centrados</w:t>
      </w:r>
      <w:r w:rsidR="00175FAB">
        <w:t xml:space="preserve"> </w:t>
      </w:r>
      <w:r w:rsidR="006C2172">
        <w:t xml:space="preserve">nos conceitos de capacitações tecnológicas </w:t>
      </w:r>
      <w:r w:rsidR="00210355">
        <w:t>e</w:t>
      </w:r>
      <w:r w:rsidR="006C2172">
        <w:t xml:space="preserve"> de</w:t>
      </w:r>
      <w:r w:rsidR="00064AAE">
        <w:t xml:space="preserve"> sistemas de inovação </w:t>
      </w:r>
      <w:r w:rsidR="006C2172">
        <w:t>da Teoria</w:t>
      </w:r>
      <w:r w:rsidR="00175FAB">
        <w:t xml:space="preserve"> Ev</w:t>
      </w:r>
      <w:r w:rsidR="006C2172">
        <w:t>olucionária (Neoschumpeteriana). O</w:t>
      </w:r>
      <w:r w:rsidR="00BF5BAF">
        <w:t xml:space="preserve"> método de investigação baseia-se</w:t>
      </w:r>
      <w:r w:rsidR="00A75BC3">
        <w:t xml:space="preserve"> em análise estatística</w:t>
      </w:r>
      <w:r w:rsidR="009B6577">
        <w:t xml:space="preserve"> de dados, </w:t>
      </w:r>
      <w:r w:rsidR="00C30D8E">
        <w:t>provenientes</w:t>
      </w:r>
      <w:r w:rsidR="00FE0023">
        <w:t xml:space="preserve"> das prin</w:t>
      </w:r>
      <w:r w:rsidR="000D54A6">
        <w:t>cipais pesquisas sobre inovação. Serão construídos</w:t>
      </w:r>
      <w:r w:rsidR="00C44A0A">
        <w:t xml:space="preserve"> indicadores</w:t>
      </w:r>
      <w:r w:rsidR="001365A3">
        <w:t xml:space="preserve"> </w:t>
      </w:r>
      <w:r w:rsidR="00ED06F1">
        <w:t>representativos das</w:t>
      </w:r>
      <w:r w:rsidR="00AF139B">
        <w:t xml:space="preserve"> capacitações tecnológicas das empresas</w:t>
      </w:r>
      <w:r w:rsidR="00ED06F1">
        <w:t xml:space="preserve">, </w:t>
      </w:r>
      <w:r w:rsidR="00C44A0A">
        <w:t xml:space="preserve">comparando-se </w:t>
      </w:r>
      <w:r w:rsidR="000D54A6">
        <w:t xml:space="preserve">o </w:t>
      </w:r>
      <w:r w:rsidR="000D54A6" w:rsidRPr="00097475">
        <w:t>Rio Grande do Sul com os principais Estados do Brasil e países industrializados</w:t>
      </w:r>
      <w:r w:rsidR="00C44A0A" w:rsidRPr="00097475">
        <w:t xml:space="preserve"> selecionados</w:t>
      </w:r>
      <w:r w:rsidR="00AF139B" w:rsidRPr="00097475">
        <w:t xml:space="preserve">. </w:t>
      </w:r>
      <w:r w:rsidR="006E5CCD" w:rsidRPr="00097475">
        <w:t xml:space="preserve">Além desta introdução, o artigo conta com mais </w:t>
      </w:r>
      <w:r w:rsidR="006E4106" w:rsidRPr="00097475">
        <w:t>três seções</w:t>
      </w:r>
      <w:r w:rsidR="00DB55AB">
        <w:t>, abarcando</w:t>
      </w:r>
      <w:r w:rsidR="006E4106" w:rsidRPr="00097475">
        <w:t xml:space="preserve"> </w:t>
      </w:r>
      <w:r w:rsidR="00C537B3">
        <w:t xml:space="preserve">a </w:t>
      </w:r>
      <w:r w:rsidR="006E4106" w:rsidRPr="00CA228D">
        <w:t>metodologia de análise</w:t>
      </w:r>
      <w:r w:rsidR="00B63B38" w:rsidRPr="00CA228D">
        <w:t>;</w:t>
      </w:r>
      <w:r w:rsidR="00B63B38">
        <w:t xml:space="preserve"> </w:t>
      </w:r>
      <w:r w:rsidR="006E4106">
        <w:t>a averiguação do processo de formação</w:t>
      </w:r>
      <w:r w:rsidR="00210355">
        <w:t xml:space="preserve"> de capacitações</w:t>
      </w:r>
      <w:r w:rsidR="009E4B5A">
        <w:t xml:space="preserve"> tecno</w:t>
      </w:r>
      <w:r w:rsidR="00314FA6">
        <w:t>lógicas na indústria gaúcha</w:t>
      </w:r>
      <w:r w:rsidR="00DA4421">
        <w:t>; e as considerações finais</w:t>
      </w:r>
      <w:r w:rsidR="00B63B38">
        <w:t>.</w:t>
      </w:r>
    </w:p>
    <w:p w14:paraId="0CE49710" w14:textId="4CAF4C9A" w:rsidR="00AF139B" w:rsidRPr="00890A55" w:rsidRDefault="00314FA6" w:rsidP="00F550B2">
      <w:pPr>
        <w:pStyle w:val="Ttulo2"/>
      </w:pPr>
      <w:r w:rsidRPr="00890A55">
        <w:t>1</w:t>
      </w:r>
      <w:r w:rsidR="006332F7" w:rsidRPr="00890A55">
        <w:t xml:space="preserve"> – </w:t>
      </w:r>
      <w:r w:rsidR="000500B8" w:rsidRPr="00890A55">
        <w:t>Metodologia de Análise</w:t>
      </w:r>
    </w:p>
    <w:p w14:paraId="4B8F6A8F" w14:textId="08BDE67A" w:rsidR="000D4B6D" w:rsidRPr="00045B63" w:rsidRDefault="000D4B6D" w:rsidP="009C2C60">
      <w:r w:rsidRPr="00045B63">
        <w:t xml:space="preserve">A metodologia do estudo, conforme mencionado, se fundamenta na construção e análise de indicadores representativos, em alguma medida, como aproximações, das capacitações tecnológicas de empresas da indústria, a partir de dados de pesquisas de inovação. O aporte teórico, que serve de base </w:t>
      </w:r>
      <w:proofErr w:type="gramStart"/>
      <w:r w:rsidRPr="00045B63">
        <w:t>à</w:t>
      </w:r>
      <w:proofErr w:type="gramEnd"/>
      <w:r w:rsidRPr="00045B63">
        <w:t xml:space="preserve"> esse esforço, centra-se nos conceitos de Sistemas de Inovação e de capacitações tecnológicas </w:t>
      </w:r>
      <w:r w:rsidR="00E8749A" w:rsidRPr="00045B63">
        <w:t xml:space="preserve">das firmas, oriundos </w:t>
      </w:r>
      <w:r w:rsidRPr="00045B63">
        <w:t>da literatura neoschumpeteriana.</w:t>
      </w:r>
    </w:p>
    <w:p w14:paraId="13870C90" w14:textId="1515643F" w:rsidR="00207A2F" w:rsidRDefault="000B2A39" w:rsidP="00007732">
      <w:r w:rsidRPr="00045B63">
        <w:t>No processo de concorrência capitalista</w:t>
      </w:r>
      <w:r>
        <w:t>, se entende que a inovação cumpra um papel fundamental à capa</w:t>
      </w:r>
      <w:r w:rsidR="00D7223B">
        <w:t>cidade competitiva das empresas</w:t>
      </w:r>
      <w:r w:rsidR="00AC1B96">
        <w:t xml:space="preserve"> e ao desenvolvimento econômico</w:t>
      </w:r>
      <w:r w:rsidR="00D7223B">
        <w:t>.</w:t>
      </w:r>
      <w:r w:rsidR="00F03355">
        <w:t xml:space="preserve"> </w:t>
      </w:r>
      <w:r w:rsidR="00043AEA">
        <w:t>Embora as fontes de compe</w:t>
      </w:r>
      <w:r w:rsidR="00D7223B">
        <w:t xml:space="preserve">titividade </w:t>
      </w:r>
      <w:r w:rsidR="00043AEA">
        <w:t xml:space="preserve">sejam múltiplas – </w:t>
      </w:r>
      <w:proofErr w:type="gramStart"/>
      <w:r w:rsidR="00043AEA">
        <w:t>empresariais, estruturais</w:t>
      </w:r>
      <w:proofErr w:type="gramEnd"/>
      <w:r w:rsidR="00043AEA">
        <w:t xml:space="preserve"> e sistêmicas –</w:t>
      </w:r>
      <w:r w:rsidR="00CA7363">
        <w:t xml:space="preserve"> o</w:t>
      </w:r>
      <w:r w:rsidR="00043AEA">
        <w:t xml:space="preserve"> </w:t>
      </w:r>
      <w:r w:rsidR="00CA7363">
        <w:t>avanço tecnológico</w:t>
      </w:r>
      <w:r w:rsidR="00D7223B">
        <w:t xml:space="preserve"> consiste no</w:t>
      </w:r>
      <w:r w:rsidR="00B96376">
        <w:t xml:space="preserve"> </w:t>
      </w:r>
      <w:r w:rsidR="00043AEA">
        <w:t>principal vetor para melhorar os atributos de concorrência do produto</w:t>
      </w:r>
      <w:r w:rsidR="006137A8">
        <w:t xml:space="preserve"> (preço, qualidade, confiabilidade, desempenho, etc.)</w:t>
      </w:r>
      <w:r w:rsidR="00C84BEE">
        <w:t xml:space="preserve"> da empresa</w:t>
      </w:r>
      <w:r w:rsidR="00043AEA">
        <w:t>.</w:t>
      </w:r>
      <w:r w:rsidR="00B96376">
        <w:t xml:space="preserve"> </w:t>
      </w:r>
      <w:r w:rsidR="004E4BE9">
        <w:t>Isto tanto pode se dar</w:t>
      </w:r>
      <w:r w:rsidR="005D25D5">
        <w:t xml:space="preserve"> pela melhora do produto em si, quanto pela </w:t>
      </w:r>
      <w:r w:rsidR="004E4BE9">
        <w:t>elevação na eficiência de</w:t>
      </w:r>
      <w:r w:rsidR="005D25D5">
        <w:t xml:space="preserve"> processos produtivos e</w:t>
      </w:r>
      <w:r w:rsidR="004E4BE9">
        <w:t xml:space="preserve"> rotinas organizacionais,</w:t>
      </w:r>
      <w:r w:rsidR="005D25D5">
        <w:t xml:space="preserve"> possibilitando reduções de preços</w:t>
      </w:r>
      <w:r w:rsidR="005D25D5" w:rsidRPr="000A4C58">
        <w:t>.</w:t>
      </w:r>
    </w:p>
    <w:p w14:paraId="2A3A6CA4" w14:textId="7E81A683" w:rsidR="006C06E7" w:rsidRDefault="00207A2F" w:rsidP="004638A5">
      <w:r>
        <w:t>O conceito de Sistemas de Inovação (SI) mostra-se útil ao entendimento do processo de dese</w:t>
      </w:r>
      <w:r w:rsidR="00282D71">
        <w:t>nvolvimento de novas tecnologias</w:t>
      </w:r>
      <w:r w:rsidR="0072214F">
        <w:t xml:space="preserve">, </w:t>
      </w:r>
      <w:r>
        <w:t>pode</w:t>
      </w:r>
      <w:r w:rsidR="0072214F">
        <w:t xml:space="preserve">ndo ser definido como </w:t>
      </w:r>
      <w:r>
        <w:t xml:space="preserve">o conjunto de firmas e organizações </w:t>
      </w:r>
      <w:r w:rsidR="009962E5">
        <w:t>que interagem</w:t>
      </w:r>
      <w:r w:rsidR="004638A5">
        <w:t xml:space="preserve"> </w:t>
      </w:r>
      <w:r>
        <w:t>inseridas em um contexto institucional</w:t>
      </w:r>
      <w:r w:rsidR="004638A5">
        <w:t>,</w:t>
      </w:r>
      <w:r>
        <w:t xml:space="preserve"> que estrutura e condiciona seus relacionamentos</w:t>
      </w:r>
      <w:r w:rsidR="004638A5">
        <w:t>, –</w:t>
      </w:r>
      <w:r>
        <w:t xml:space="preserve"> com objetivo de explorar, buscar, produzir, transmitir e aprender novos </w:t>
      </w:r>
      <w:r w:rsidRPr="006123C6">
        <w:t>conhecimentos científicos e tecnológicos, úteis ao proces</w:t>
      </w:r>
      <w:r w:rsidR="00EC0B17" w:rsidRPr="006123C6">
        <w:t xml:space="preserve">so de desenvolvimento </w:t>
      </w:r>
      <w:r w:rsidRPr="006123C6">
        <w:t>de inovações (LUNDVALL, 2010, p.13</w:t>
      </w:r>
      <w:r w:rsidR="00953E03" w:rsidRPr="006123C6">
        <w:t>; FREEMAN, 2010, p.173</w:t>
      </w:r>
      <w:r w:rsidR="00EC0B17" w:rsidRPr="006123C6">
        <w:t>)</w:t>
      </w:r>
      <w:r w:rsidR="00953E03" w:rsidRPr="006123C6">
        <w:t>.</w:t>
      </w:r>
      <w:r w:rsidR="000E74D8" w:rsidRPr="006123C6">
        <w:t xml:space="preserve"> </w:t>
      </w:r>
      <w:r w:rsidRPr="006123C6">
        <w:t xml:space="preserve">A ideia fundamental de um SI é a de que os processos dos quais emergem inovações são complexos, envolvendo o surgimento e a difusão de conhecimentos codificados e tácitos, sendo </w:t>
      </w:r>
      <w:r w:rsidRPr="006123C6">
        <w:lastRenderedPageBreak/>
        <w:t>originários de múltiplas fontes</w:t>
      </w:r>
      <w:r w:rsidR="00A93297">
        <w:t xml:space="preserve"> e formas de aprendizado</w:t>
      </w:r>
      <w:r w:rsidRPr="006123C6">
        <w:t xml:space="preserve">; sua “tradução” em novos produtos ou processos produtivos; e seu lançamento no mercado, envolvendo uma série de relações interativas e mecanismos de </w:t>
      </w:r>
      <w:proofErr w:type="gramStart"/>
      <w:r w:rsidRPr="006123C6">
        <w:rPr>
          <w:i/>
        </w:rPr>
        <w:t>feedback</w:t>
      </w:r>
      <w:proofErr w:type="gramEnd"/>
      <w:r w:rsidRPr="006123C6">
        <w:t xml:space="preserve"> (EDQUIST, 1997, p.1-2). </w:t>
      </w:r>
      <w:r w:rsidR="00BB3395" w:rsidRPr="006123C6">
        <w:t>O ponto é que a</w:t>
      </w:r>
      <w:r w:rsidRPr="006123C6">
        <w:t>s empresas não desenvolvem novos conhecimentos e projetam inovações apenas a partir de seus recursos próprios (humanos, financeiros, infraestrutura de laboratórios, etc.); esforços formais de pesquisa e desenvolvimento (P&amp;D); fontes informais</w:t>
      </w:r>
      <w:r>
        <w:t xml:space="preserve"> de aprendizado; e relações internas entre seus departamento</w:t>
      </w:r>
      <w:r w:rsidR="00C442B5">
        <w:t>s</w:t>
      </w:r>
      <w:r w:rsidR="000E74D8">
        <w:t>. Os</w:t>
      </w:r>
      <w:r>
        <w:t xml:space="preserve"> novos conhecimentos e o acesso a recursos para desenvolver ou </w:t>
      </w:r>
      <w:proofErr w:type="gramStart"/>
      <w:r>
        <w:t>implementar</w:t>
      </w:r>
      <w:proofErr w:type="gramEnd"/>
      <w:r>
        <w:t xml:space="preserve"> inovações também decorrem da interação da empresa com o ambiente produtivo, científico, político e institucional no qual está inserida, assim como da relação que essas esfer</w:t>
      </w:r>
      <w:r w:rsidR="000E74D8">
        <w:t>as mantêm com o resto do mundo.</w:t>
      </w:r>
    </w:p>
    <w:p w14:paraId="524F170C" w14:textId="30AF0371" w:rsidR="000D4B6D" w:rsidRPr="007D2D79" w:rsidRDefault="00EE48AE" w:rsidP="00E854D9">
      <w:r>
        <w:t>Nesse âmbito</w:t>
      </w:r>
      <w:r w:rsidR="00BF6087">
        <w:t>, os novos conhecimentos com aplicação econômica – tecnologia – podem ser originados</w:t>
      </w:r>
      <w:r w:rsidR="00207A2F">
        <w:t xml:space="preserve"> por quaisquer dos agentes de um Sistema de Inovação, </w:t>
      </w:r>
      <w:r w:rsidR="00BF6087">
        <w:t>contudo</w:t>
      </w:r>
      <w:r w:rsidR="00B45954">
        <w:t>,</w:t>
      </w:r>
      <w:r w:rsidR="00BF6087">
        <w:t xml:space="preserve"> </w:t>
      </w:r>
      <w:r w:rsidR="00207A2F">
        <w:t xml:space="preserve">são as firmas que </w:t>
      </w:r>
      <w:r w:rsidR="00C442B5">
        <w:t xml:space="preserve">os materializam em novos produtos, </w:t>
      </w:r>
      <w:r w:rsidR="00207A2F">
        <w:t>processos produtiv</w:t>
      </w:r>
      <w:r w:rsidR="00C442B5">
        <w:t>os e rotinas organizacionais e os introduzem no mercado</w:t>
      </w:r>
      <w:r w:rsidR="00207A2F">
        <w:t>.</w:t>
      </w:r>
      <w:r w:rsidR="00C442B5">
        <w:t xml:space="preserve"> Para tanto, as empre</w:t>
      </w:r>
      <w:r w:rsidR="00CD45F9">
        <w:t>sas necessitam possuir capacidade instalada</w:t>
      </w:r>
      <w:r w:rsidR="00C442B5">
        <w:t xml:space="preserve"> para executar essas operações. </w:t>
      </w:r>
      <w:r w:rsidR="00CD45F9">
        <w:t xml:space="preserve">De um lado, isto diz respeito à </w:t>
      </w:r>
      <w:r w:rsidR="00AB1053">
        <w:t xml:space="preserve">capacidade atual </w:t>
      </w:r>
      <w:r w:rsidR="00D85364">
        <w:t>(produtiva, organizacional, financeira, comercial</w:t>
      </w:r>
      <w:r w:rsidR="004C0C3F">
        <w:t>, etc.</w:t>
      </w:r>
      <w:r w:rsidR="00D85364">
        <w:t xml:space="preserve">) </w:t>
      </w:r>
      <w:r w:rsidR="00AB1053">
        <w:t>– estática –</w:t>
      </w:r>
      <w:r w:rsidR="00D85364">
        <w:t xml:space="preserve"> para ofertar</w:t>
      </w:r>
      <w:r w:rsidR="00AB1053">
        <w:t xml:space="preserve"> uma mercadoria.</w:t>
      </w:r>
      <w:r w:rsidR="004C0C3F">
        <w:t xml:space="preserve"> De outro lado, a mudança tecnológica envolve a</w:t>
      </w:r>
      <w:r w:rsidR="001F3305">
        <w:t>s denominadas</w:t>
      </w:r>
      <w:r w:rsidR="00BC3085">
        <w:t xml:space="preserve"> capacitações dinâmicas</w:t>
      </w:r>
      <w:r w:rsidR="001F3305">
        <w:t xml:space="preserve">, compreendidas como sendo </w:t>
      </w:r>
      <w:r w:rsidR="004C0C3F">
        <w:t xml:space="preserve">as gerenciais e as tecnológicas, </w:t>
      </w:r>
      <w:r w:rsidR="004C0C3F" w:rsidRPr="0053239C">
        <w:t>voltadas ao</w:t>
      </w:r>
      <w:r w:rsidR="001F3305" w:rsidRPr="0053239C">
        <w:t xml:space="preserve"> desen</w:t>
      </w:r>
      <w:r w:rsidR="00BC3085" w:rsidRPr="0053239C">
        <w:t>volvimento de inovações pela empresa</w:t>
      </w:r>
      <w:r w:rsidR="001F3305" w:rsidRPr="0053239C">
        <w:t xml:space="preserve"> ou para o ajuste </w:t>
      </w:r>
      <w:proofErr w:type="gramStart"/>
      <w:r w:rsidR="001F3305" w:rsidRPr="0053239C">
        <w:t>à</w:t>
      </w:r>
      <w:proofErr w:type="gramEnd"/>
      <w:r w:rsidR="001F3305" w:rsidRPr="0053239C">
        <w:t xml:space="preserve"> mudanças no mercado (TEECE; PISANO; SHUEN, 1997). As </w:t>
      </w:r>
      <w:r w:rsidR="00046249" w:rsidRPr="0053239C">
        <w:t>capacitações gerenciais consistem</w:t>
      </w:r>
      <w:r w:rsidR="001F3305" w:rsidRPr="0053239C">
        <w:t xml:space="preserve"> </w:t>
      </w:r>
      <w:r w:rsidR="00046249" w:rsidRPr="0053239C">
        <w:t>n</w:t>
      </w:r>
      <w:r w:rsidR="001F3305" w:rsidRPr="0053239C">
        <w:t xml:space="preserve">a habilidade para identificar novas oportunidades comerciais e para formular ou modificar as estratégias de concorrência e as rotinas organizacionais da empresa. </w:t>
      </w:r>
      <w:r w:rsidR="00046249" w:rsidRPr="0053239C">
        <w:t>As capacitações tecnológicas são aquelas necessárias</w:t>
      </w:r>
      <w:r w:rsidR="00046249">
        <w:t xml:space="preserve"> </w:t>
      </w:r>
      <w:r w:rsidR="001F3305">
        <w:t xml:space="preserve">para </w:t>
      </w:r>
      <w:r w:rsidR="00046249">
        <w:t>a execução</w:t>
      </w:r>
      <w:r w:rsidR="001F3305">
        <w:t xml:space="preserve"> </w:t>
      </w:r>
      <w:r w:rsidR="00046249">
        <w:t xml:space="preserve">de </w:t>
      </w:r>
      <w:r w:rsidR="001F3305">
        <w:t xml:space="preserve">atividades </w:t>
      </w:r>
      <w:r w:rsidR="00046249">
        <w:t>de inovação</w:t>
      </w:r>
      <w:r w:rsidR="001F3305">
        <w:t>, visando</w:t>
      </w:r>
      <w:r w:rsidR="00FD6B0F">
        <w:t xml:space="preserve"> o aprendizado de novos conhecimentos e</w:t>
      </w:r>
      <w:r w:rsidR="00604B45">
        <w:t xml:space="preserve"> o desenvolvimento próprio ou </w:t>
      </w:r>
      <w:r w:rsidR="00D14067">
        <w:t xml:space="preserve">a </w:t>
      </w:r>
      <w:r w:rsidR="00604B45">
        <w:t>absorção de novas tecnologias</w:t>
      </w:r>
      <w:r w:rsidR="00D14067">
        <w:t>,</w:t>
      </w:r>
      <w:r w:rsidR="00604B45">
        <w:t xml:space="preserve"> para </w:t>
      </w:r>
      <w:r w:rsidR="001F3305">
        <w:t>melhorar produtos e processos produtivos</w:t>
      </w:r>
      <w:r w:rsidR="00BF62B9">
        <w:t xml:space="preserve"> (COHEN; LEVINTHAL, 2009</w:t>
      </w:r>
      <w:r w:rsidR="00F1399E">
        <w:t>)</w:t>
      </w:r>
      <w:r w:rsidR="001F3305">
        <w:t xml:space="preserve">. </w:t>
      </w:r>
      <w:r w:rsidR="00AB0FC9">
        <w:t xml:space="preserve">Logo, as capacitações tecnológicas agrupam-se em três grandes conjuntos: (a) </w:t>
      </w:r>
      <w:r w:rsidR="001F3305">
        <w:t xml:space="preserve">capacidade financeira para custear </w:t>
      </w:r>
      <w:r w:rsidR="000C34BA">
        <w:t>as atividades de inovação, especialmente o</w:t>
      </w:r>
      <w:r w:rsidR="001F3305">
        <w:t xml:space="preserve"> processo de pesquisa e desenvolvimento (P&amp;D); </w:t>
      </w:r>
      <w:r w:rsidR="00303F37">
        <w:t xml:space="preserve">(b) </w:t>
      </w:r>
      <w:r w:rsidR="000C34BA">
        <w:t>pessoal qualificado, dotado de domínio sobre a base de conhecimentos relevantes ao aprendizado e ao desenv</w:t>
      </w:r>
      <w:r w:rsidR="00303F37">
        <w:t>olvimento de novas tecnologias</w:t>
      </w:r>
      <w:r w:rsidR="00C26D96">
        <w:t>; e (c) infraestrutura tecnológica de equipamentos e laboratórios para executar internam</w:t>
      </w:r>
      <w:r w:rsidR="00BF72A0">
        <w:t>ente as atividades de P&amp;D</w:t>
      </w:r>
      <w:r w:rsidR="00303F37">
        <w:t>.</w:t>
      </w:r>
      <w:proofErr w:type="gramStart"/>
      <w:r w:rsidR="001F3305">
        <w:t xml:space="preserve"> </w:t>
      </w:r>
      <w:r w:rsidR="008A3B59">
        <w:t xml:space="preserve"> </w:t>
      </w:r>
      <w:proofErr w:type="gramEnd"/>
      <w:r w:rsidR="008A3B59">
        <w:t xml:space="preserve">Note-se que a firma pode não deter todos os recursos necessários, também sendo passíveis de aquisição junto a outros agentes de um sistema de inovação, o que abarca </w:t>
      </w:r>
      <w:r w:rsidR="00F56843" w:rsidRPr="007D2D79">
        <w:t>prestação de serviços tecnológicos</w:t>
      </w:r>
      <w:r w:rsidR="00F56843">
        <w:t xml:space="preserve">,  </w:t>
      </w:r>
      <w:r w:rsidR="008A3B59">
        <w:t xml:space="preserve">conhecimentos gerados externamente, financiamento, bens de </w:t>
      </w:r>
      <w:r w:rsidR="00F56843">
        <w:t>capital, treinamento</w:t>
      </w:r>
      <w:r w:rsidR="008A3B59" w:rsidRPr="007D2D79">
        <w:t xml:space="preserve"> e outros.</w:t>
      </w:r>
    </w:p>
    <w:p w14:paraId="0A03917A" w14:textId="02BE11A9" w:rsidR="009C2C60" w:rsidRDefault="005F3C81" w:rsidP="00F60EBC">
      <w:r>
        <w:lastRenderedPageBreak/>
        <w:t xml:space="preserve">Apresentada </w:t>
      </w:r>
      <w:r w:rsidR="00C94A70">
        <w:t>esta breve</w:t>
      </w:r>
      <w:r w:rsidR="00C10BC5">
        <w:t xml:space="preserve"> discussão teórica</w:t>
      </w:r>
      <w:r w:rsidR="00F60EBC">
        <w:t xml:space="preserve"> sobre capacitações tecnológicas das empresas</w:t>
      </w:r>
      <w:r w:rsidR="00BD3B9F">
        <w:t xml:space="preserve"> e inovação</w:t>
      </w:r>
      <w:r w:rsidR="00F60EBC">
        <w:t xml:space="preserve">, </w:t>
      </w:r>
      <w:r w:rsidR="00C5549A" w:rsidRPr="007D2D79">
        <w:t>a con</w:t>
      </w:r>
      <w:r w:rsidR="00021CC5" w:rsidRPr="007D2D79">
        <w:t xml:space="preserve">strução </w:t>
      </w:r>
      <w:r w:rsidR="00F60EBC">
        <w:t>dos</w:t>
      </w:r>
      <w:r w:rsidR="00C5549A" w:rsidRPr="007D2D79">
        <w:t xml:space="preserve"> indicadores</w:t>
      </w:r>
      <w:r w:rsidR="00F60EBC">
        <w:t xml:space="preserve"> também </w:t>
      </w:r>
      <w:proofErr w:type="gramStart"/>
      <w:r w:rsidR="009C2C60">
        <w:t>ba</w:t>
      </w:r>
      <w:r w:rsidR="00F60EBC">
        <w:t>liza-se</w:t>
      </w:r>
      <w:proofErr w:type="gramEnd"/>
      <w:r w:rsidR="00F60EBC">
        <w:t xml:space="preserve"> pelos conceit</w:t>
      </w:r>
      <w:r w:rsidR="000C7671">
        <w:t>os e pela metodologia das variáv</w:t>
      </w:r>
      <w:r w:rsidR="00F60EBC">
        <w:t>eis coletadas pel</w:t>
      </w:r>
      <w:r w:rsidR="009C2C60">
        <w:t>as pesquisa</w:t>
      </w:r>
      <w:r w:rsidR="00F60EBC">
        <w:t>s</w:t>
      </w:r>
      <w:r w:rsidR="009C2C60">
        <w:t xml:space="preserve"> de inovação, dispostas nos</w:t>
      </w:r>
      <w:r w:rsidR="0021349C">
        <w:t xml:space="preserve"> manuais de Oslo (OCDE</w:t>
      </w:r>
      <w:r w:rsidR="005F5D06">
        <w:t>; EUROSTAT</w:t>
      </w:r>
      <w:r w:rsidR="0021349C">
        <w:t>, 2005)</w:t>
      </w:r>
      <w:r w:rsidR="00753C0A">
        <w:t xml:space="preserve"> e</w:t>
      </w:r>
      <w:r w:rsidR="0021349C">
        <w:t xml:space="preserve"> </w:t>
      </w:r>
      <w:r w:rsidR="009C2C60">
        <w:t xml:space="preserve">de </w:t>
      </w:r>
      <w:proofErr w:type="spellStart"/>
      <w:r w:rsidR="009C2C60">
        <w:t>Frascatti</w:t>
      </w:r>
      <w:proofErr w:type="spellEnd"/>
      <w:r w:rsidR="009C2C60">
        <w:t xml:space="preserve"> (OCDE, 2015)</w:t>
      </w:r>
      <w:r w:rsidR="00753C0A">
        <w:t xml:space="preserve"> e nas</w:t>
      </w:r>
      <w:r w:rsidR="0021349C">
        <w:t xml:space="preserve"> </w:t>
      </w:r>
      <w:r w:rsidR="00753C0A">
        <w:t xml:space="preserve">notas técnicas da </w:t>
      </w:r>
      <w:r w:rsidR="0021349C">
        <w:t>PINTEC (</w:t>
      </w:r>
      <w:r w:rsidR="00753C0A">
        <w:t xml:space="preserve">IBGE, </w:t>
      </w:r>
      <w:r w:rsidR="0021349C">
        <w:t>2016)</w:t>
      </w:r>
      <w:r w:rsidR="009C2C60">
        <w:t>.</w:t>
      </w:r>
    </w:p>
    <w:p w14:paraId="2B4C1908" w14:textId="2BDB27D6" w:rsidR="007C6417" w:rsidRDefault="00B606A1" w:rsidP="00EC710D">
      <w:r>
        <w:t>O</w:t>
      </w:r>
      <w:r w:rsidR="00BC6E5A">
        <w:t xml:space="preserve"> rol </w:t>
      </w:r>
      <w:r w:rsidR="009C2C60">
        <w:t xml:space="preserve">de atividades </w:t>
      </w:r>
      <w:proofErr w:type="spellStart"/>
      <w:r w:rsidR="009C2C60">
        <w:t>inovativas</w:t>
      </w:r>
      <w:proofErr w:type="spellEnd"/>
      <w:r w:rsidR="009C2C60">
        <w:t xml:space="preserve"> </w:t>
      </w:r>
      <w:r>
        <w:t>compreende</w:t>
      </w:r>
      <w:r w:rsidR="00502E65">
        <w:t xml:space="preserve"> as</w:t>
      </w:r>
      <w:r w:rsidR="009631E6">
        <w:t xml:space="preserve"> ações científicas, tecnológicas, organizacionais, financeiras e comerci</w:t>
      </w:r>
      <w:r w:rsidR="00784F3A">
        <w:t>ais realizadas visando</w:t>
      </w:r>
      <w:r w:rsidR="009631E6">
        <w:t xml:space="preserve"> desenvolver </w:t>
      </w:r>
      <w:r w:rsidR="00036954">
        <w:t>ou absorver</w:t>
      </w:r>
      <w:r w:rsidR="002318FA">
        <w:t>, assim como</w:t>
      </w:r>
      <w:r w:rsidR="00784F3A">
        <w:t xml:space="preserve"> </w:t>
      </w:r>
      <w:proofErr w:type="gramStart"/>
      <w:r w:rsidR="00784F3A">
        <w:t>implementar</w:t>
      </w:r>
      <w:proofErr w:type="gramEnd"/>
      <w:r w:rsidR="002318FA">
        <w:t xml:space="preserve"> comercialmente</w:t>
      </w:r>
      <w:r w:rsidR="00A46A0C">
        <w:t>,</w:t>
      </w:r>
      <w:r w:rsidR="00784F3A">
        <w:t xml:space="preserve"> </w:t>
      </w:r>
      <w:r w:rsidR="002318FA">
        <w:t xml:space="preserve">as </w:t>
      </w:r>
      <w:r w:rsidR="00784F3A">
        <w:t xml:space="preserve">inovações. </w:t>
      </w:r>
      <w:r w:rsidR="006F27F3">
        <w:t xml:space="preserve">Em outras palavras, tratam-se daquelas ações diretamente </w:t>
      </w:r>
      <w:r w:rsidR="006F27F3" w:rsidRPr="007D2D79">
        <w:t>envolvidas no ato de inovar, assim como outras que são necessárias para dar suporte ou p</w:t>
      </w:r>
      <w:r w:rsidR="00415FC2" w:rsidRPr="007D2D79">
        <w:t>ara complementar esse processo</w:t>
      </w:r>
      <w:r w:rsidR="00E91662">
        <w:t xml:space="preserve">, </w:t>
      </w:r>
      <w:r w:rsidR="00F625AC">
        <w:rPr>
          <w:highlight w:val="green"/>
        </w:rPr>
        <w:t>sendo realizadas em variadas</w:t>
      </w:r>
      <w:r w:rsidR="00E91662" w:rsidRPr="00E91662">
        <w:rPr>
          <w:highlight w:val="green"/>
        </w:rPr>
        <w:t xml:space="preserve"> medida</w:t>
      </w:r>
      <w:r w:rsidR="00837FD8">
        <w:rPr>
          <w:highlight w:val="green"/>
        </w:rPr>
        <w:t>s</w:t>
      </w:r>
      <w:r w:rsidR="008728BD">
        <w:rPr>
          <w:highlight w:val="green"/>
        </w:rPr>
        <w:t>, conforme o</w:t>
      </w:r>
      <w:r w:rsidR="0073799D">
        <w:rPr>
          <w:highlight w:val="green"/>
        </w:rPr>
        <w:t xml:space="preserve"> padrão tecnológico</w:t>
      </w:r>
      <w:r w:rsidR="008728BD">
        <w:rPr>
          <w:highlight w:val="green"/>
        </w:rPr>
        <w:t xml:space="preserve"> de cada atividade econômica</w:t>
      </w:r>
      <w:r w:rsidR="00415FC2" w:rsidRPr="00E91662">
        <w:rPr>
          <w:highlight w:val="green"/>
        </w:rPr>
        <w:t>.</w:t>
      </w:r>
      <w:r w:rsidR="00E91662">
        <w:t xml:space="preserve"> </w:t>
      </w:r>
      <w:r w:rsidR="007C6417" w:rsidRPr="007D2D79">
        <w:t xml:space="preserve">Nas pesquisas de inovação, as atividades </w:t>
      </w:r>
      <w:proofErr w:type="spellStart"/>
      <w:r w:rsidR="007C6417" w:rsidRPr="007D2D79">
        <w:t>inovativas</w:t>
      </w:r>
      <w:proofErr w:type="spellEnd"/>
      <w:r w:rsidR="007C6417" w:rsidRPr="007D2D79">
        <w:t xml:space="preserve"> dividem-se em</w:t>
      </w:r>
      <w:r w:rsidR="0063291E" w:rsidRPr="007D2D79">
        <w:t>: (a) atividades internas de P&amp;D; (b) aquisição externa de P&amp;D; (c) aquisição de outros conhecimentos</w:t>
      </w:r>
      <w:r w:rsidR="0063291E">
        <w:t xml:space="preserve"> externos; (d) aquisição de software; (e) aquisição de máquinas e equipamentos; (f) treinamento; </w:t>
      </w:r>
      <w:r w:rsidR="00EC710D">
        <w:t>(g) i</w:t>
      </w:r>
      <w:r w:rsidR="0063291E">
        <w:t>ntrodução das inovações tecnológicas no mercado</w:t>
      </w:r>
      <w:r w:rsidR="00EC710D">
        <w:t>; e (h) p</w:t>
      </w:r>
      <w:r w:rsidR="0063291E">
        <w:t>rojeto industrial e outras preparações técnicas</w:t>
      </w:r>
      <w:r w:rsidR="00EC710D">
        <w:t>.</w:t>
      </w:r>
    </w:p>
    <w:p w14:paraId="4F293C3F" w14:textId="54A6E734" w:rsidR="0073422C" w:rsidRDefault="0053344C" w:rsidP="009D2AFC">
      <w:r>
        <w:t>As at</w:t>
      </w:r>
      <w:r w:rsidR="006B3B44">
        <w:t>ividades de P&amp;D</w:t>
      </w:r>
      <w:r>
        <w:t xml:space="preserve"> são entendidas como sendo o trabalho criativo sistematizado que está voltado à elevação do estoque de conhecimento, assim como para divisar novos</w:t>
      </w:r>
      <w:r w:rsidR="00B90862">
        <w:t xml:space="preserve"> usos e combinações</w:t>
      </w:r>
      <w:r w:rsidR="00E42F3F">
        <w:t xml:space="preserve"> e para incorporá-lo em um produto ou processo </w:t>
      </w:r>
      <w:r w:rsidR="00E42F3F" w:rsidRPr="00471CC6">
        <w:t>produtivo</w:t>
      </w:r>
      <w:r w:rsidRPr="00471CC6">
        <w:t xml:space="preserve">. </w:t>
      </w:r>
      <w:r w:rsidR="001F46BA" w:rsidRPr="00471CC6">
        <w:t>Este é o núcleo do processo de i</w:t>
      </w:r>
      <w:r w:rsidR="00D534C4" w:rsidRPr="00471CC6">
        <w:t>novação</w:t>
      </w:r>
      <w:r w:rsidR="001F46BA" w:rsidRPr="00471CC6">
        <w:t xml:space="preserve">. </w:t>
      </w:r>
      <w:r w:rsidRPr="00471CC6">
        <w:t xml:space="preserve">Isto envolve (I) </w:t>
      </w:r>
      <w:r w:rsidRPr="00471CC6">
        <w:rPr>
          <w:u w:val="single"/>
        </w:rPr>
        <w:t>pesquisa básica</w:t>
      </w:r>
      <w:r w:rsidRPr="00471CC6">
        <w:t>, relac</w:t>
      </w:r>
      <w:r>
        <w:t xml:space="preserve">ionada ao aprendizado de conhecimentos científicos teóricos e experimentais sobre fenômenos e fatos observáveis, sem </w:t>
      </w:r>
      <w:r w:rsidR="00117BFE">
        <w:t xml:space="preserve">ter necessariamente </w:t>
      </w:r>
      <w:r>
        <w:t xml:space="preserve">perspectiva de um uso específico ou de sua aplicação imediata; (II) </w:t>
      </w:r>
      <w:r w:rsidRPr="00F6343F">
        <w:rPr>
          <w:u w:val="single"/>
        </w:rPr>
        <w:t>pesquisa aplicada</w:t>
      </w:r>
      <w:r>
        <w:t>, entendida como sendo a investigação com o obj</w:t>
      </w:r>
      <w:r w:rsidR="0000000C">
        <w:t>etivo específico de adquirir</w:t>
      </w:r>
      <w:r>
        <w:t xml:space="preserve"> conhecimentos com vistas a uma finalidade prática; e (III) </w:t>
      </w:r>
      <w:r w:rsidRPr="00F6343F">
        <w:rPr>
          <w:u w:val="single"/>
        </w:rPr>
        <w:t>desenvolvimento experimental</w:t>
      </w:r>
      <w:r>
        <w:t>, com intuito de conceber um produto ou processo produtivo, que seja novo ou substancialmente aprimorado, a partir do conhecimento advindo de pesquisas e/ou da experiência prática no processo de produção</w:t>
      </w:r>
      <w:r w:rsidR="006222BA">
        <w:rPr>
          <w:rStyle w:val="Refdenotaderodap"/>
        </w:rPr>
        <w:footnoteReference w:id="5"/>
      </w:r>
      <w:r>
        <w:t xml:space="preserve"> (OCDE 2005, </w:t>
      </w:r>
      <w:r w:rsidR="009D2AFC">
        <w:t>p. 91-97; OCDE, 2015, p.50-51).</w:t>
      </w:r>
      <w:r w:rsidR="00DC4692">
        <w:t xml:space="preserve"> </w:t>
      </w:r>
    </w:p>
    <w:p w14:paraId="5A39FCF3" w14:textId="4C9082B6" w:rsidR="00736551" w:rsidRDefault="00DC4692" w:rsidP="009D2AFC">
      <w:r>
        <w:t xml:space="preserve">As atividades de P&amp;D podem ser </w:t>
      </w:r>
      <w:r w:rsidR="009111BD">
        <w:t>realizadas internamente pela firma ou adquirida</w:t>
      </w:r>
      <w:r w:rsidR="00C342D1">
        <w:t>s</w:t>
      </w:r>
      <w:r w:rsidR="009111BD">
        <w:t xml:space="preserve"> de fontes externas.</w:t>
      </w:r>
      <w:r w:rsidR="00C342D1">
        <w:t xml:space="preserve"> </w:t>
      </w:r>
      <w:r w:rsidR="00DC001F">
        <w:t>Ambos os processos são importantes ao domínio da base de conhecimento relacionada com as tec</w:t>
      </w:r>
      <w:r w:rsidR="00CD027E">
        <w:t>nologias desejadas pela empresa</w:t>
      </w:r>
      <w:r w:rsidR="00DC001F">
        <w:t>, sendo relevante</w:t>
      </w:r>
      <w:r w:rsidR="00EF2D8B">
        <w:t>s</w:t>
      </w:r>
      <w:r w:rsidR="00DC001F">
        <w:t xml:space="preserve"> à formação de suas capacitações tecnológicas. </w:t>
      </w:r>
      <w:r w:rsidR="00E25C4D">
        <w:t>Contudo</w:t>
      </w:r>
      <w:r w:rsidR="00EE41CD">
        <w:t>,</w:t>
      </w:r>
      <w:r w:rsidR="00B141A2">
        <w:t xml:space="preserve"> </w:t>
      </w:r>
      <w:r w:rsidR="0041376B">
        <w:t xml:space="preserve">as </w:t>
      </w:r>
      <w:r w:rsidR="00E25C4D">
        <w:t>atividades internas de P&amp;D possuem</w:t>
      </w:r>
      <w:r w:rsidR="00B141A2">
        <w:t xml:space="preserve"> uma importância maior, pois </w:t>
      </w:r>
      <w:r w:rsidR="00E25C4D">
        <w:t>sua realização possibilita</w:t>
      </w:r>
      <w:r w:rsidR="00BC7CC1">
        <w:t xml:space="preserve"> maior</w:t>
      </w:r>
      <w:r w:rsidR="006C44F9">
        <w:t>es</w:t>
      </w:r>
      <w:r w:rsidR="00E25C4D">
        <w:t>:</w:t>
      </w:r>
      <w:r w:rsidR="00BC7CC1">
        <w:t xml:space="preserve"> </w:t>
      </w:r>
      <w:r w:rsidR="00160A5C">
        <w:t>acúmulo de conhecim</w:t>
      </w:r>
      <w:r w:rsidR="00E25C4D">
        <w:t>entos</w:t>
      </w:r>
      <w:r w:rsidR="00B33EE8">
        <w:t xml:space="preserve"> sobre as tecnologias buscadas</w:t>
      </w:r>
      <w:r w:rsidR="00E25C4D">
        <w:t>, sendo que estes são de posse exclusiva da empresa; capacidade para diferenciar produto</w:t>
      </w:r>
      <w:r w:rsidR="006C44F9">
        <w:t xml:space="preserve">s e processos produtivos; </w:t>
      </w:r>
      <w:r w:rsidR="00E25C4D">
        <w:t>domínio da curva de aprendizado na realização</w:t>
      </w:r>
      <w:r w:rsidR="001C7A0B">
        <w:t xml:space="preserve"> </w:t>
      </w:r>
      <w:r w:rsidR="001C7A0B">
        <w:lastRenderedPageBreak/>
        <w:t>de P&amp;D</w:t>
      </w:r>
      <w:r w:rsidR="00E25C4D">
        <w:t>;</w:t>
      </w:r>
      <w:r w:rsidR="001C7A0B">
        <w:t xml:space="preserve"> </w:t>
      </w:r>
      <w:r w:rsidR="00BF4209">
        <w:t xml:space="preserve">formação de infraestrutura </w:t>
      </w:r>
      <w:proofErr w:type="gramStart"/>
      <w:r w:rsidR="000D1B19">
        <w:t>à</w:t>
      </w:r>
      <w:proofErr w:type="gramEnd"/>
      <w:r w:rsidR="000D1B19">
        <w:t xml:space="preserve"> essas atividades, </w:t>
      </w:r>
      <w:r w:rsidR="00B33EE8">
        <w:t>d</w:t>
      </w:r>
      <w:r w:rsidR="009078CA">
        <w:t>entre outros benefícios</w:t>
      </w:r>
      <w:r w:rsidR="001C7A0B">
        <w:t xml:space="preserve"> estratégico</w:t>
      </w:r>
      <w:r w:rsidR="009078CA">
        <w:t>s</w:t>
      </w:r>
      <w:r w:rsidR="001C7A0B">
        <w:t>.</w:t>
      </w:r>
      <w:r w:rsidR="00FC5773">
        <w:t xml:space="preserve"> A aquisição externa de P&amp;D refere-se a conhecimentos básicos e aplicados e atividades de </w:t>
      </w:r>
      <w:proofErr w:type="gramStart"/>
      <w:r w:rsidR="00FC5773">
        <w:t>desenvolvimento realizados por outras empresas ou institutos de pesquisa</w:t>
      </w:r>
      <w:proofErr w:type="gramEnd"/>
      <w:r w:rsidR="00FC5773">
        <w:t xml:space="preserve">. </w:t>
      </w:r>
      <w:proofErr w:type="gramStart"/>
      <w:r w:rsidR="00FC5773">
        <w:t>Trata</w:t>
      </w:r>
      <w:r w:rsidR="00CD027E">
        <w:t>m</w:t>
      </w:r>
      <w:r w:rsidR="00FC5773">
        <w:t>-se</w:t>
      </w:r>
      <w:proofErr w:type="gramEnd"/>
      <w:r w:rsidR="00FC5773">
        <w:t xml:space="preserve"> de conhecimentos complementares aos detidos pela empresa ou a prestação de serviços tecnológicos para os quais ela não dispõe de capacitações </w:t>
      </w:r>
      <w:r w:rsidR="00EC2CD8" w:rsidRPr="00EC2CD8">
        <w:rPr>
          <w:highlight w:val="green"/>
        </w:rPr>
        <w:t>próprias</w:t>
      </w:r>
      <w:r w:rsidR="00EC2CD8">
        <w:t xml:space="preserve"> </w:t>
      </w:r>
      <w:r w:rsidR="00FC5773">
        <w:t>para sua realização intramuros.</w:t>
      </w:r>
      <w:r w:rsidR="00AB6227">
        <w:t xml:space="preserve"> </w:t>
      </w:r>
      <w:r w:rsidR="00AB6227" w:rsidRPr="00ED7528">
        <w:rPr>
          <w:highlight w:val="green"/>
        </w:rPr>
        <w:t xml:space="preserve">Inclusive, há um benefício estratégico advindo da interação que é </w:t>
      </w:r>
      <w:r w:rsidR="00614F85" w:rsidRPr="00ED7528">
        <w:rPr>
          <w:highlight w:val="green"/>
        </w:rPr>
        <w:t>o do conhecimento sobre</w:t>
      </w:r>
      <w:r w:rsidR="001D15BF" w:rsidRPr="00ED7528">
        <w:rPr>
          <w:highlight w:val="green"/>
        </w:rPr>
        <w:t xml:space="preserve"> </w:t>
      </w:r>
      <w:r w:rsidR="005A2E74" w:rsidRPr="00ED7528">
        <w:rPr>
          <w:highlight w:val="green"/>
        </w:rPr>
        <w:t>outros agentes de um sistema de inovação</w:t>
      </w:r>
      <w:r w:rsidR="00614F85" w:rsidRPr="00ED7528">
        <w:rPr>
          <w:highlight w:val="green"/>
        </w:rPr>
        <w:t>, bem como</w:t>
      </w:r>
      <w:r w:rsidR="005A2E74" w:rsidRPr="00ED7528">
        <w:rPr>
          <w:highlight w:val="green"/>
        </w:rPr>
        <w:t xml:space="preserve"> da experiência no relacionamento com os mesmos, formando capital social</w:t>
      </w:r>
      <w:r w:rsidR="004D2D80" w:rsidRPr="00ED7528">
        <w:rPr>
          <w:highlight w:val="green"/>
        </w:rPr>
        <w:t xml:space="preserve"> e </w:t>
      </w:r>
      <w:r w:rsidR="00614F85" w:rsidRPr="00ED7528">
        <w:rPr>
          <w:highlight w:val="green"/>
        </w:rPr>
        <w:t xml:space="preserve">inserindo-se em </w:t>
      </w:r>
      <w:r w:rsidR="004D2D80" w:rsidRPr="00ED7528">
        <w:rPr>
          <w:highlight w:val="green"/>
        </w:rPr>
        <w:t>redes de pesquisa</w:t>
      </w:r>
      <w:r w:rsidR="005A2E74" w:rsidRPr="00ED7528">
        <w:rPr>
          <w:highlight w:val="green"/>
        </w:rPr>
        <w:t>, o que facilita futuras relações para desenvolvimentos tecnológicos</w:t>
      </w:r>
      <w:r w:rsidR="009B13B5" w:rsidRPr="00ED7528">
        <w:rPr>
          <w:highlight w:val="green"/>
        </w:rPr>
        <w:t xml:space="preserve"> subsequentes</w:t>
      </w:r>
      <w:r w:rsidR="005A2E74" w:rsidRPr="00ED7528">
        <w:rPr>
          <w:highlight w:val="green"/>
        </w:rPr>
        <w:t>.</w:t>
      </w:r>
    </w:p>
    <w:p w14:paraId="757601C5" w14:textId="35A9C34D" w:rsidR="00D2683B" w:rsidRDefault="00906969" w:rsidP="0008372F">
      <w:r>
        <w:t xml:space="preserve">No caso do dispêndio em atividades internas de P&amp;D, </w:t>
      </w:r>
      <w:r w:rsidR="00F44FA9">
        <w:t>d</w:t>
      </w:r>
      <w:r w:rsidR="00D45569">
        <w:t xml:space="preserve">e acordo com os manuais metodológicos, estes englobam </w:t>
      </w:r>
      <w:r w:rsidR="00A82791">
        <w:t xml:space="preserve">seus </w:t>
      </w:r>
      <w:r w:rsidR="002A3FB6">
        <w:t>custos</w:t>
      </w:r>
      <w:r w:rsidR="003F0BC3">
        <w:t xml:space="preserve"> correntes </w:t>
      </w:r>
      <w:r w:rsidR="00865E5A">
        <w:t xml:space="preserve">e </w:t>
      </w:r>
      <w:r w:rsidR="002A3FB6">
        <w:t xml:space="preserve">despesas com </w:t>
      </w:r>
      <w:proofErr w:type="gramStart"/>
      <w:r w:rsidR="002A3FB6">
        <w:t>a formação de capi</w:t>
      </w:r>
      <w:r w:rsidR="00F44FA9">
        <w:t xml:space="preserve">tal </w:t>
      </w:r>
      <w:r w:rsidR="005F7206">
        <w:t>aplicados</w:t>
      </w:r>
      <w:proofErr w:type="gramEnd"/>
      <w:r w:rsidR="005F7206">
        <w:t xml:space="preserve"> diretamente a</w:t>
      </w:r>
      <w:r w:rsidR="00F44FA9">
        <w:t xml:space="preserve"> essa finalidade</w:t>
      </w:r>
      <w:r w:rsidR="005066A3">
        <w:t>. No</w:t>
      </w:r>
      <w:r w:rsidR="002A3FB6">
        <w:t xml:space="preserve"> escopo </w:t>
      </w:r>
      <w:r w:rsidR="005066A3">
        <w:t xml:space="preserve">dos custos correntes </w:t>
      </w:r>
      <w:r w:rsidR="002A3FB6">
        <w:t>inserem-se os salários e en</w:t>
      </w:r>
      <w:r w:rsidR="00E060D7">
        <w:t>cargos do pessoal aloca</w:t>
      </w:r>
      <w:r w:rsidR="00E7070C">
        <w:t>do em P&amp;D</w:t>
      </w:r>
      <w:r w:rsidR="00ED25F6">
        <w:t>;</w:t>
      </w:r>
      <w:r w:rsidR="002A3FB6">
        <w:t xml:space="preserve"> </w:t>
      </w:r>
      <w:r w:rsidR="00ED25F6">
        <w:t xml:space="preserve">e aqueles </w:t>
      </w:r>
      <w:r w:rsidR="002A3FB6">
        <w:t>com insumos, materiais, operação de laboratórios</w:t>
      </w:r>
      <w:r w:rsidR="00F03C1E">
        <w:t xml:space="preserve">, prestação de serviços; </w:t>
      </w:r>
      <w:r w:rsidR="002A3FB6">
        <w:t xml:space="preserve">e outros (ex. licença </w:t>
      </w:r>
      <w:r w:rsidR="00161616">
        <w:t>de uso de software</w:t>
      </w:r>
      <w:r w:rsidR="002A3FB6">
        <w:t>).</w:t>
      </w:r>
      <w:r w:rsidR="00D2683B">
        <w:t xml:space="preserve"> Dentre as despesas de capital</w:t>
      </w:r>
      <w:r w:rsidR="00300365">
        <w:t xml:space="preserve"> incluem-se aquelas associadas </w:t>
      </w:r>
      <w:r w:rsidR="00D2683B">
        <w:t xml:space="preserve">à aquisição </w:t>
      </w:r>
      <w:r w:rsidR="0008372F">
        <w:t>de ativos fixos – como terrenos e</w:t>
      </w:r>
      <w:r w:rsidR="00300365">
        <w:t xml:space="preserve"> prédios</w:t>
      </w:r>
      <w:r w:rsidR="0008372F">
        <w:t xml:space="preserve">; </w:t>
      </w:r>
      <w:r w:rsidR="00D2683B">
        <w:t xml:space="preserve">construção de </w:t>
      </w:r>
      <w:r w:rsidR="00300365">
        <w:t>unidades e/ou laboratórios de P&amp;D</w:t>
      </w:r>
      <w:r w:rsidR="00BF6D71">
        <w:t xml:space="preserve">; </w:t>
      </w:r>
      <w:r w:rsidR="007B622D">
        <w:t xml:space="preserve">montagem de </w:t>
      </w:r>
      <w:r w:rsidR="00BF6D71">
        <w:t>plantas-piloto</w:t>
      </w:r>
      <w:r w:rsidR="00300365">
        <w:t>;</w:t>
      </w:r>
      <w:r w:rsidR="0008372F">
        <w:t xml:space="preserve"> c</w:t>
      </w:r>
      <w:r w:rsidR="00D2683B">
        <w:t>omputa</w:t>
      </w:r>
      <w:r w:rsidR="00300365">
        <w:t>dores, máquinas e equipamentos</w:t>
      </w:r>
      <w:r w:rsidR="00BF6D71">
        <w:t>; etc.</w:t>
      </w:r>
      <w:r w:rsidR="00C64375">
        <w:t>;</w:t>
      </w:r>
      <w:r w:rsidR="00300365">
        <w:t xml:space="preserve"> e à compra de ativos intangíveis</w:t>
      </w:r>
      <w:r w:rsidR="0092268D">
        <w:t xml:space="preserve">, </w:t>
      </w:r>
      <w:r w:rsidR="0008372F">
        <w:t xml:space="preserve">como </w:t>
      </w:r>
      <w:r w:rsidR="00924CE5">
        <w:t xml:space="preserve">licenciamento de </w:t>
      </w:r>
      <w:r w:rsidR="0008372F">
        <w:t>softwa</w:t>
      </w:r>
      <w:r w:rsidR="00BF6D71">
        <w:t>res, direitos de exploração e outros</w:t>
      </w:r>
      <w:r w:rsidR="0008372F">
        <w:t>.</w:t>
      </w:r>
    </w:p>
    <w:p w14:paraId="0CC3F509" w14:textId="324234CA" w:rsidR="009D2AFC" w:rsidRDefault="00736551" w:rsidP="0021349C">
      <w:r>
        <w:t xml:space="preserve">As demais atividades </w:t>
      </w:r>
      <w:proofErr w:type="spellStart"/>
      <w:r w:rsidR="00C342D1">
        <w:t>inovativas</w:t>
      </w:r>
      <w:proofErr w:type="spellEnd"/>
      <w:r w:rsidR="00D72701">
        <w:t xml:space="preserve"> </w:t>
      </w:r>
      <w:r w:rsidR="00091300">
        <w:rPr>
          <w:highlight w:val="green"/>
        </w:rPr>
        <w:t>consistem na</w:t>
      </w:r>
      <w:r w:rsidR="00EA7A8F" w:rsidRPr="00EA7A8F">
        <w:rPr>
          <w:highlight w:val="green"/>
        </w:rPr>
        <w:t xml:space="preserve"> absorção passiva de tecnologia</w:t>
      </w:r>
      <w:r w:rsidR="00EA7A8F">
        <w:t xml:space="preserve"> ou </w:t>
      </w:r>
      <w:r w:rsidR="00C342D1">
        <w:t>são complementares ou</w:t>
      </w:r>
      <w:r>
        <w:t xml:space="preserve"> de suporte</w:t>
      </w:r>
      <w:r w:rsidR="00AA2AC4">
        <w:t xml:space="preserve">, estando </w:t>
      </w:r>
      <w:proofErr w:type="gramStart"/>
      <w:r w:rsidR="00AA2AC4">
        <w:t>relacionadas</w:t>
      </w:r>
      <w:proofErr w:type="gramEnd"/>
      <w:r w:rsidR="00682B17">
        <w:t xml:space="preserve"> à </w:t>
      </w:r>
      <w:r w:rsidR="00AA2AC4">
        <w:t xml:space="preserve">viabilização </w:t>
      </w:r>
      <w:r w:rsidR="00BF13F4">
        <w:t xml:space="preserve">do desenvolvimento de um </w:t>
      </w:r>
      <w:r w:rsidR="004966B9">
        <w:t xml:space="preserve">novo </w:t>
      </w:r>
      <w:r w:rsidR="00BF13F4">
        <w:t xml:space="preserve">produto </w:t>
      </w:r>
      <w:r w:rsidR="00ED7AA2">
        <w:t>e/</w:t>
      </w:r>
      <w:r w:rsidR="00BF13F4">
        <w:t xml:space="preserve">ou processo produtivo ou aos preparativos necessários à </w:t>
      </w:r>
      <w:r w:rsidR="00ED7AA2" w:rsidRPr="00B11B48">
        <w:rPr>
          <w:highlight w:val="green"/>
        </w:rPr>
        <w:t xml:space="preserve">sua </w:t>
      </w:r>
      <w:r w:rsidR="00B11B48" w:rsidRPr="00FB0ADE">
        <w:rPr>
          <w:highlight w:val="green"/>
        </w:rPr>
        <w:t>implementação e</w:t>
      </w:r>
      <w:r w:rsidR="00B11B48">
        <w:t xml:space="preserve"> </w:t>
      </w:r>
      <w:r w:rsidR="00682B17">
        <w:t>introdução</w:t>
      </w:r>
      <w:r w:rsidR="00ED7AA2">
        <w:t xml:space="preserve"> </w:t>
      </w:r>
      <w:r w:rsidR="00682B17">
        <w:t xml:space="preserve">no mercado. </w:t>
      </w:r>
      <w:r w:rsidR="00213AD8">
        <w:t xml:space="preserve">Neste rol estão envolvidas </w:t>
      </w:r>
      <w:r w:rsidR="000F050A">
        <w:t xml:space="preserve">as despesas com </w:t>
      </w:r>
      <w:r w:rsidR="00213AD8">
        <w:t xml:space="preserve">aquisição de conhecimentos externos (ex. licença de </w:t>
      </w:r>
      <w:r w:rsidR="00C26CD5">
        <w:t>uso de patente</w:t>
      </w:r>
      <w:r w:rsidR="0074355B">
        <w:t>, transferências de tecnologia, etc.</w:t>
      </w:r>
      <w:r w:rsidR="00C26CD5">
        <w:t xml:space="preserve">), </w:t>
      </w:r>
      <w:r w:rsidR="0021349C">
        <w:t xml:space="preserve">com treinamento </w:t>
      </w:r>
      <w:r w:rsidR="00664B16">
        <w:t>de recursos humanos à realização das</w:t>
      </w:r>
      <w:r w:rsidR="0021349C">
        <w:t xml:space="preserve"> a</w:t>
      </w:r>
      <w:r w:rsidR="0048472B">
        <w:t xml:space="preserve">tividades </w:t>
      </w:r>
      <w:proofErr w:type="spellStart"/>
      <w:r w:rsidR="0048472B">
        <w:t>inovativas</w:t>
      </w:r>
      <w:proofErr w:type="spellEnd"/>
      <w:r w:rsidR="0048472B">
        <w:t xml:space="preserve"> da firma</w:t>
      </w:r>
      <w:r w:rsidR="006836B0">
        <w:t>, inclusive contratação</w:t>
      </w:r>
      <w:r w:rsidR="00342B81">
        <w:t xml:space="preserve"> de consultoria externa</w:t>
      </w:r>
      <w:r w:rsidR="00330CF1">
        <w:t>;</w:t>
      </w:r>
      <w:r w:rsidR="0021349C">
        <w:t xml:space="preserve"> </w:t>
      </w:r>
      <w:r w:rsidR="003608D2">
        <w:t xml:space="preserve">com </w:t>
      </w:r>
      <w:r w:rsidR="007C6417">
        <w:t>investimentos em</w:t>
      </w:r>
      <w:r w:rsidR="003608D2">
        <w:t xml:space="preserve"> be</w:t>
      </w:r>
      <w:r w:rsidR="00D016E7">
        <w:t>ns de capital e</w:t>
      </w:r>
      <w:r w:rsidR="007252F3">
        <w:t xml:space="preserve"> </w:t>
      </w:r>
      <w:r w:rsidR="00BA2B6C">
        <w:t xml:space="preserve">licenciamento de </w:t>
      </w:r>
      <w:r w:rsidR="0019307F">
        <w:t>soft</w:t>
      </w:r>
      <w:r w:rsidR="00330CF1">
        <w:t>ware</w:t>
      </w:r>
      <w:r w:rsidR="00C11807">
        <w:rPr>
          <w:rStyle w:val="Refdenotaderodap"/>
        </w:rPr>
        <w:footnoteReference w:id="6"/>
      </w:r>
      <w:r w:rsidR="002E3A9A">
        <w:t xml:space="preserve"> </w:t>
      </w:r>
      <w:r w:rsidR="00330CF1">
        <w:t xml:space="preserve">para </w:t>
      </w:r>
      <w:proofErr w:type="gramStart"/>
      <w:r w:rsidR="00330CF1">
        <w:t>implementar</w:t>
      </w:r>
      <w:proofErr w:type="gramEnd"/>
      <w:r w:rsidR="00330CF1">
        <w:t xml:space="preserve"> inovações</w:t>
      </w:r>
      <w:r w:rsidR="002E3A9A">
        <w:t>, inclusive com nova tecnologia embarcada</w:t>
      </w:r>
      <w:r w:rsidR="00330CF1">
        <w:t>;</w:t>
      </w:r>
      <w:r w:rsidR="0019307F">
        <w:t xml:space="preserve"> </w:t>
      </w:r>
      <w:r w:rsidR="003608D2">
        <w:t xml:space="preserve">com </w:t>
      </w:r>
      <w:r w:rsidR="004C22B9">
        <w:t>custo</w:t>
      </w:r>
      <w:r w:rsidR="000F050A">
        <w:t>s</w:t>
      </w:r>
      <w:r w:rsidR="003608D2">
        <w:t xml:space="preserve"> das</w:t>
      </w:r>
      <w:r w:rsidR="000F050A">
        <w:t xml:space="preserve"> </w:t>
      </w:r>
      <w:r w:rsidR="004C22B9">
        <w:t>preparações técnicas para produzir utilizando-se a nova tecnologia</w:t>
      </w:r>
      <w:r w:rsidR="003501E2">
        <w:t>, incluindo</w:t>
      </w:r>
      <w:r w:rsidR="00330CF1">
        <w:t xml:space="preserve"> o treinamento de</w:t>
      </w:r>
      <w:r w:rsidR="008351C5">
        <w:t xml:space="preserve"> trabalhadores</w:t>
      </w:r>
      <w:r w:rsidR="003501E2">
        <w:t xml:space="preserve"> à sua fabricação</w:t>
      </w:r>
      <w:r w:rsidR="00330CF1">
        <w:t>;</w:t>
      </w:r>
      <w:r w:rsidR="00014EEF">
        <w:t xml:space="preserve"> e da</w:t>
      </w:r>
      <w:r w:rsidR="000F050A">
        <w:t xml:space="preserve"> introdução das inovações no mercado</w:t>
      </w:r>
      <w:r w:rsidR="00C11807">
        <w:t>.</w:t>
      </w:r>
      <w:r w:rsidR="00820529">
        <w:t xml:space="preserve"> </w:t>
      </w:r>
      <w:r w:rsidR="00157E06" w:rsidRPr="007F5EC7">
        <w:rPr>
          <w:highlight w:val="green"/>
        </w:rPr>
        <w:t xml:space="preserve">Note-se que aquisição de conhecimentos externos, </w:t>
      </w:r>
      <w:r w:rsidR="002E3A9A" w:rsidRPr="007F5EC7">
        <w:rPr>
          <w:highlight w:val="green"/>
        </w:rPr>
        <w:t xml:space="preserve">bens de capital e softwares novos ou significativamente aprimorados consistem em absorção passiva de tecnologia, no sentido de não terem sido desenvolvidos pela </w:t>
      </w:r>
      <w:r w:rsidR="00BA2B8D">
        <w:rPr>
          <w:highlight w:val="green"/>
        </w:rPr>
        <w:t xml:space="preserve">própria </w:t>
      </w:r>
      <w:r w:rsidR="002E3A9A" w:rsidRPr="007F5EC7">
        <w:rPr>
          <w:highlight w:val="green"/>
        </w:rPr>
        <w:t>firma.</w:t>
      </w:r>
      <w:r w:rsidR="002E3A9A">
        <w:t xml:space="preserve"> </w:t>
      </w:r>
      <w:r w:rsidR="00E545D9" w:rsidRPr="00486414">
        <w:rPr>
          <w:highlight w:val="green"/>
        </w:rPr>
        <w:t>Essas atividades</w:t>
      </w:r>
      <w:r w:rsidR="00820529" w:rsidRPr="00486414">
        <w:rPr>
          <w:highlight w:val="green"/>
        </w:rPr>
        <w:t xml:space="preserve"> </w:t>
      </w:r>
      <w:proofErr w:type="spellStart"/>
      <w:r w:rsidR="000F166E">
        <w:rPr>
          <w:highlight w:val="green"/>
        </w:rPr>
        <w:t>inovativas</w:t>
      </w:r>
      <w:proofErr w:type="spellEnd"/>
      <w:r w:rsidR="000F166E">
        <w:rPr>
          <w:highlight w:val="green"/>
        </w:rPr>
        <w:t xml:space="preserve"> </w:t>
      </w:r>
      <w:r w:rsidR="00D565EB" w:rsidRPr="00486414">
        <w:rPr>
          <w:highlight w:val="green"/>
        </w:rPr>
        <w:t xml:space="preserve">também </w:t>
      </w:r>
      <w:r w:rsidR="00820529" w:rsidRPr="00486414">
        <w:rPr>
          <w:highlight w:val="green"/>
        </w:rPr>
        <w:t>geram nov</w:t>
      </w:r>
      <w:r w:rsidR="008D732B">
        <w:rPr>
          <w:highlight w:val="green"/>
        </w:rPr>
        <w:t xml:space="preserve">os conhecimentos e </w:t>
      </w:r>
      <w:r w:rsidR="00FB50D4">
        <w:rPr>
          <w:highlight w:val="green"/>
        </w:rPr>
        <w:t xml:space="preserve">formam </w:t>
      </w:r>
      <w:r w:rsidR="008D732B">
        <w:rPr>
          <w:highlight w:val="green"/>
        </w:rPr>
        <w:t>capacitações</w:t>
      </w:r>
      <w:r w:rsidR="00FB50D4">
        <w:rPr>
          <w:highlight w:val="green"/>
        </w:rPr>
        <w:t xml:space="preserve"> tecnológicas</w:t>
      </w:r>
      <w:r w:rsidR="00206EC1" w:rsidRPr="00486414">
        <w:rPr>
          <w:highlight w:val="green"/>
        </w:rPr>
        <w:t xml:space="preserve">, </w:t>
      </w:r>
      <w:r w:rsidR="00CA1E41" w:rsidRPr="00486414">
        <w:rPr>
          <w:highlight w:val="green"/>
        </w:rPr>
        <w:t xml:space="preserve">porém, </w:t>
      </w:r>
      <w:r w:rsidR="00E23E2C">
        <w:rPr>
          <w:highlight w:val="green"/>
        </w:rPr>
        <w:lastRenderedPageBreak/>
        <w:t xml:space="preserve">do ponto de vista estratégico, </w:t>
      </w:r>
      <w:r w:rsidR="008D732B">
        <w:rPr>
          <w:highlight w:val="green"/>
        </w:rPr>
        <w:t xml:space="preserve">não </w:t>
      </w:r>
      <w:r w:rsidR="00293D2D">
        <w:rPr>
          <w:highlight w:val="green"/>
        </w:rPr>
        <w:t xml:space="preserve">são </w:t>
      </w:r>
      <w:r w:rsidR="008B1A03">
        <w:rPr>
          <w:highlight w:val="green"/>
        </w:rPr>
        <w:t>de posse particular</w:t>
      </w:r>
      <w:r w:rsidR="008D732B">
        <w:rPr>
          <w:highlight w:val="green"/>
        </w:rPr>
        <w:t xml:space="preserve"> da empresa, como no caso daqueles advindos de</w:t>
      </w:r>
      <w:r w:rsidR="0007005F" w:rsidRPr="00486414">
        <w:rPr>
          <w:highlight w:val="green"/>
        </w:rPr>
        <w:t xml:space="preserve"> P&amp;D</w:t>
      </w:r>
      <w:r w:rsidR="00431517">
        <w:rPr>
          <w:rStyle w:val="Refdenotaderodap"/>
          <w:highlight w:val="green"/>
        </w:rPr>
        <w:footnoteReference w:id="7"/>
      </w:r>
      <w:r w:rsidR="008D732B">
        <w:rPr>
          <w:highlight w:val="green"/>
        </w:rPr>
        <w:t xml:space="preserve"> interno</w:t>
      </w:r>
      <w:r w:rsidR="005A6CB9">
        <w:rPr>
          <w:highlight w:val="green"/>
        </w:rPr>
        <w:t>, estando disponíveis também a rivais</w:t>
      </w:r>
      <w:r w:rsidR="0007005F" w:rsidRPr="00486414">
        <w:rPr>
          <w:highlight w:val="green"/>
        </w:rPr>
        <w:t>.</w:t>
      </w:r>
    </w:p>
    <w:p w14:paraId="78879554" w14:textId="00CE1E1A" w:rsidR="00746CF7" w:rsidRDefault="00746CF7" w:rsidP="00F8559A">
      <w:pPr>
        <w:ind w:firstLine="0"/>
      </w:pPr>
      <w:r>
        <w:tab/>
        <w:t>A partir dessas considerações, os indicadores representativos das capacitações tecnológicas das empresas serão apresentados, quanto ao seu significado e relevância, juntamente com as análises de sua evolução ao longo da próxima seção do texto.</w:t>
      </w:r>
    </w:p>
    <w:p w14:paraId="01E804F1" w14:textId="651359AE" w:rsidR="00657E4C" w:rsidRPr="003566AE" w:rsidRDefault="009B1F66" w:rsidP="00F550B2">
      <w:pPr>
        <w:pStyle w:val="Ttulo2"/>
      </w:pPr>
      <w:proofErr w:type="gramStart"/>
      <w:r>
        <w:t>2</w:t>
      </w:r>
      <w:r w:rsidR="006332F7">
        <w:t xml:space="preserve"> – </w:t>
      </w:r>
      <w:r w:rsidR="00657E4C" w:rsidRPr="003566AE">
        <w:t>Formação</w:t>
      </w:r>
      <w:proofErr w:type="gramEnd"/>
      <w:r w:rsidR="00657E4C" w:rsidRPr="003566AE">
        <w:t xml:space="preserve"> de Capacitações Tecnológicas </w:t>
      </w:r>
      <w:r w:rsidR="00AF335E" w:rsidRPr="003566AE">
        <w:t>na Indústria d</w:t>
      </w:r>
      <w:r w:rsidR="00657E4C" w:rsidRPr="003566AE">
        <w:t>o Rio Grande do Sul</w:t>
      </w:r>
    </w:p>
    <w:p w14:paraId="36270928" w14:textId="38C2023A" w:rsidR="00B16C4D" w:rsidRDefault="00B16C4D" w:rsidP="00F550B2">
      <w:r>
        <w:t>Essa seção visa</w:t>
      </w:r>
      <w:r w:rsidR="00724CDC">
        <w:t xml:space="preserve"> identificar qual </w:t>
      </w:r>
      <w:r w:rsidR="00E42D8E">
        <w:t>tem sido o padrão de evolução das capacitações tecnológicas d</w:t>
      </w:r>
      <w:r w:rsidR="00724CDC">
        <w:t xml:space="preserve">as empresas </w:t>
      </w:r>
      <w:r w:rsidR="00E42D8E">
        <w:t>das indústrias</w:t>
      </w:r>
      <w:r w:rsidR="00724CDC">
        <w:t xml:space="preserve"> – extrativas e de transformação – do Rio Grande do Sul no </w:t>
      </w:r>
      <w:r w:rsidR="00724CDC" w:rsidRPr="00C622CB">
        <w:t>perí</w:t>
      </w:r>
      <w:r w:rsidR="008F0DC4" w:rsidRPr="00C622CB">
        <w:t xml:space="preserve">odo </w:t>
      </w:r>
      <w:r w:rsidR="00314867" w:rsidRPr="00C622CB">
        <w:t>2005</w:t>
      </w:r>
      <w:r w:rsidR="00C622CB" w:rsidRPr="00C622CB">
        <w:t>-</w:t>
      </w:r>
      <w:r w:rsidR="00C622CB" w:rsidRPr="003C0555">
        <w:t>2014.</w:t>
      </w:r>
      <w:r w:rsidR="00392936" w:rsidRPr="003C0555">
        <w:t xml:space="preserve"> </w:t>
      </w:r>
      <w:r w:rsidR="006332F7">
        <w:t>Como explicitado, isso será realizado em três bloco</w:t>
      </w:r>
      <w:r w:rsidR="005722EE">
        <w:t>s: (1) recursos financeiros; (2</w:t>
      </w:r>
      <w:r w:rsidR="006332F7">
        <w:t>) recursos humanos ocupados em P&amp;D</w:t>
      </w:r>
      <w:r w:rsidR="005722EE">
        <w:t>; e (3) infraestrutura tecnológica</w:t>
      </w:r>
      <w:r w:rsidR="006332F7">
        <w:t>.</w:t>
      </w:r>
      <w:r w:rsidR="00063070">
        <w:t xml:space="preserve"> </w:t>
      </w:r>
      <w:r w:rsidR="00FB3851">
        <w:rPr>
          <w:highlight w:val="green"/>
        </w:rPr>
        <w:t>Note</w:t>
      </w:r>
      <w:r w:rsidR="00FB3851" w:rsidRPr="0067653D">
        <w:rPr>
          <w:highlight w:val="green"/>
        </w:rPr>
        <w:t>-se que as análises e os resultados apres</w:t>
      </w:r>
      <w:r w:rsidR="00FB3851">
        <w:rPr>
          <w:highlight w:val="green"/>
        </w:rPr>
        <w:t xml:space="preserve">entados </w:t>
      </w:r>
      <w:r w:rsidR="00FB3851" w:rsidRPr="0067653D">
        <w:rPr>
          <w:highlight w:val="green"/>
        </w:rPr>
        <w:t>referem-se ao universo de empresas com dez ou mais empregados das indústrias extrativas e de transformação</w:t>
      </w:r>
      <w:r w:rsidR="00FB3851">
        <w:rPr>
          <w:rStyle w:val="Refdenotaderodap"/>
          <w:highlight w:val="green"/>
        </w:rPr>
        <w:footnoteReference w:id="8"/>
      </w:r>
      <w:r w:rsidR="00FB3851" w:rsidRPr="0067653D">
        <w:rPr>
          <w:highlight w:val="green"/>
        </w:rPr>
        <w:t>.</w:t>
      </w:r>
      <w:r w:rsidR="00FB3851">
        <w:rPr>
          <w:highlight w:val="green"/>
        </w:rPr>
        <w:t xml:space="preserve"> </w:t>
      </w:r>
      <w:r w:rsidR="00063070" w:rsidRPr="00063070">
        <w:rPr>
          <w:highlight w:val="green"/>
        </w:rPr>
        <w:t>Antes de</w:t>
      </w:r>
      <w:r w:rsidR="0047557A">
        <w:rPr>
          <w:highlight w:val="green"/>
        </w:rPr>
        <w:t xml:space="preserve"> proceder</w:t>
      </w:r>
      <w:r w:rsidR="00063070" w:rsidRPr="00063070">
        <w:rPr>
          <w:highlight w:val="green"/>
        </w:rPr>
        <w:t xml:space="preserve"> </w:t>
      </w:r>
      <w:proofErr w:type="gramStart"/>
      <w:r w:rsidR="00063070" w:rsidRPr="00063070">
        <w:rPr>
          <w:highlight w:val="green"/>
        </w:rPr>
        <w:t>a</w:t>
      </w:r>
      <w:proofErr w:type="gramEnd"/>
      <w:r w:rsidR="00063070" w:rsidRPr="00063070">
        <w:rPr>
          <w:highlight w:val="green"/>
        </w:rPr>
        <w:t xml:space="preserve"> análise, cabe explicitar </w:t>
      </w:r>
      <w:r w:rsidR="005151C0">
        <w:rPr>
          <w:highlight w:val="green"/>
        </w:rPr>
        <w:t xml:space="preserve">novamente </w:t>
      </w:r>
      <w:r w:rsidR="00063070" w:rsidRPr="00063070">
        <w:rPr>
          <w:highlight w:val="green"/>
        </w:rPr>
        <w:t>que o volume e o perfil dos gastos em atividades de inovação, a contratação de recursos humanos e a formação de infraestrutura tecnológica são influ</w:t>
      </w:r>
      <w:r w:rsidR="00550BC8">
        <w:rPr>
          <w:highlight w:val="green"/>
        </w:rPr>
        <w:t xml:space="preserve">enciadas por múltiplos fatores, de cunho nacional e/ou estadual, </w:t>
      </w:r>
      <w:r w:rsidR="00063070" w:rsidRPr="00063070">
        <w:rPr>
          <w:highlight w:val="green"/>
        </w:rPr>
        <w:t>dentre os quais: o padrão tecnológico setorial, a estrutura da matriz produtiva, a conjuntura econ</w:t>
      </w:r>
      <w:r w:rsidR="00EF3AC5">
        <w:rPr>
          <w:highlight w:val="green"/>
        </w:rPr>
        <w:t xml:space="preserve">ômica, as políticas de CT&amp;I, </w:t>
      </w:r>
      <w:r w:rsidR="005B1DCD">
        <w:rPr>
          <w:highlight w:val="green"/>
        </w:rPr>
        <w:t xml:space="preserve">as características </w:t>
      </w:r>
      <w:r w:rsidR="0003168C">
        <w:rPr>
          <w:highlight w:val="green"/>
        </w:rPr>
        <w:t xml:space="preserve">e </w:t>
      </w:r>
      <w:r w:rsidR="00A52DF9">
        <w:rPr>
          <w:highlight w:val="green"/>
        </w:rPr>
        <w:t xml:space="preserve">o </w:t>
      </w:r>
      <w:r w:rsidR="0003168C">
        <w:rPr>
          <w:highlight w:val="green"/>
        </w:rPr>
        <w:t>grau de desenvolvimento do</w:t>
      </w:r>
      <w:r w:rsidR="005B1DCD">
        <w:rPr>
          <w:highlight w:val="green"/>
        </w:rPr>
        <w:t xml:space="preserve"> sistema de inovação, </w:t>
      </w:r>
      <w:r w:rsidR="00EF3AC5">
        <w:rPr>
          <w:highlight w:val="green"/>
        </w:rPr>
        <w:t>e</w:t>
      </w:r>
      <w:r w:rsidR="005B19F7">
        <w:rPr>
          <w:highlight w:val="green"/>
        </w:rPr>
        <w:t>ntre</w:t>
      </w:r>
      <w:r w:rsidR="00EF3AC5">
        <w:rPr>
          <w:highlight w:val="green"/>
        </w:rPr>
        <w:t xml:space="preserve"> outras</w:t>
      </w:r>
      <w:r w:rsidR="00063070" w:rsidRPr="00063070">
        <w:rPr>
          <w:highlight w:val="green"/>
        </w:rPr>
        <w:t>.</w:t>
      </w:r>
    </w:p>
    <w:p w14:paraId="43FCC9BA" w14:textId="7839215D" w:rsidR="000C346B" w:rsidRPr="00E54B64" w:rsidRDefault="009B1F66" w:rsidP="00F550B2">
      <w:pPr>
        <w:spacing w:before="200"/>
        <w:ind w:firstLine="0"/>
        <w:jc w:val="center"/>
        <w:rPr>
          <w:rFonts w:eastAsiaTheme="majorEastAsia" w:cstheme="majorBidi"/>
          <w:b/>
          <w:bCs/>
        </w:rPr>
      </w:pPr>
      <w:r w:rsidRPr="00E54B64">
        <w:rPr>
          <w:rFonts w:eastAsiaTheme="majorEastAsia" w:cstheme="majorBidi"/>
          <w:b/>
          <w:bCs/>
        </w:rPr>
        <w:t>2</w:t>
      </w:r>
      <w:r w:rsidR="006332F7" w:rsidRPr="00E54B64">
        <w:rPr>
          <w:rFonts w:eastAsiaTheme="majorEastAsia" w:cstheme="majorBidi"/>
          <w:b/>
          <w:bCs/>
        </w:rPr>
        <w:t xml:space="preserve">.1 – </w:t>
      </w:r>
      <w:r w:rsidR="00E54B64">
        <w:rPr>
          <w:rFonts w:eastAsiaTheme="majorEastAsia" w:cstheme="majorBidi"/>
          <w:b/>
          <w:bCs/>
        </w:rPr>
        <w:t>Recursos Financeiros alocados em</w:t>
      </w:r>
      <w:r w:rsidR="000C346B" w:rsidRPr="00E54B64">
        <w:rPr>
          <w:rFonts w:eastAsiaTheme="majorEastAsia" w:cstheme="majorBidi"/>
          <w:b/>
          <w:bCs/>
        </w:rPr>
        <w:t xml:space="preserve"> atividad</w:t>
      </w:r>
      <w:r w:rsidR="008B1F47" w:rsidRPr="00E54B64">
        <w:rPr>
          <w:rFonts w:eastAsiaTheme="majorEastAsia" w:cstheme="majorBidi"/>
          <w:b/>
          <w:bCs/>
        </w:rPr>
        <w:t xml:space="preserve">es </w:t>
      </w:r>
      <w:r w:rsidR="004C168B" w:rsidRPr="00E54B64">
        <w:rPr>
          <w:rFonts w:eastAsiaTheme="majorEastAsia" w:cstheme="majorBidi"/>
          <w:b/>
          <w:bCs/>
        </w:rPr>
        <w:t>de inovação</w:t>
      </w:r>
    </w:p>
    <w:p w14:paraId="237E709B" w14:textId="23B46FAB" w:rsidR="009860E5" w:rsidRDefault="00187B39" w:rsidP="00CF6922">
      <w:pPr>
        <w:ind w:firstLine="0"/>
      </w:pPr>
      <w:r>
        <w:tab/>
        <w:t>No âmbito das capacitações tecnológicas das empres</w:t>
      </w:r>
      <w:r w:rsidR="00AE5856">
        <w:t>as, um dos fatores relevantes para o</w:t>
      </w:r>
      <w:r>
        <w:t xml:space="preserve"> processo de desenvolvimento ou </w:t>
      </w:r>
      <w:r w:rsidR="00AE5856">
        <w:t>de absorção</w:t>
      </w:r>
      <w:r w:rsidR="004C44EC">
        <w:t xml:space="preserve"> de novas tecnologias consiste no orçamento alocado a esse fim</w:t>
      </w:r>
      <w:r w:rsidR="00CF6922">
        <w:t xml:space="preserve">. </w:t>
      </w:r>
      <w:r w:rsidR="00A079EF">
        <w:t>No q</w:t>
      </w:r>
      <w:r w:rsidR="00101583">
        <w:t>ue tange aos valores investidos</w:t>
      </w:r>
      <w:r w:rsidR="00376112">
        <w:t xml:space="preserve"> em atividades </w:t>
      </w:r>
      <w:r w:rsidR="00AF1ECE">
        <w:t>de inovação</w:t>
      </w:r>
      <w:r w:rsidR="00A079EF">
        <w:t xml:space="preserve">, </w:t>
      </w:r>
      <w:r w:rsidR="004A7ACE">
        <w:t>estes apresentaram</w:t>
      </w:r>
      <w:r w:rsidR="0062612E">
        <w:t xml:space="preserve"> aumento no período 2005-2014</w:t>
      </w:r>
      <w:r w:rsidR="00291001">
        <w:t>. Para o Rio Grande do Sul</w:t>
      </w:r>
      <w:r w:rsidR="00592758">
        <w:t>,</w:t>
      </w:r>
      <w:r w:rsidR="00291001">
        <w:t xml:space="preserve"> </w:t>
      </w:r>
      <w:r w:rsidR="00693DD0">
        <w:t>as taxas de crescimento foram de</w:t>
      </w:r>
      <w:r w:rsidR="005F16D6">
        <w:t xml:space="preserve"> 83,9% nos gastos em a</w:t>
      </w:r>
      <w:r w:rsidR="005F2737">
        <w:t xml:space="preserve">tividades internas </w:t>
      </w:r>
      <w:r w:rsidR="006C225B">
        <w:t xml:space="preserve">de P&amp;D e de 11,3% no </w:t>
      </w:r>
      <w:r w:rsidR="005F2737">
        <w:t>total</w:t>
      </w:r>
      <w:r w:rsidR="008C718E">
        <w:t xml:space="preserve"> das </w:t>
      </w:r>
      <w:proofErr w:type="spellStart"/>
      <w:r w:rsidR="008C718E">
        <w:t>inovativas</w:t>
      </w:r>
      <w:proofErr w:type="spellEnd"/>
      <w:r w:rsidR="00E368A9">
        <w:t>; n</w:t>
      </w:r>
      <w:r w:rsidR="00444A50">
        <w:t xml:space="preserve">o </w:t>
      </w:r>
      <w:r w:rsidR="00E368A9">
        <w:t xml:space="preserve">caso do Brasil, as </w:t>
      </w:r>
      <w:r w:rsidR="00444A50">
        <w:t xml:space="preserve">taxas foram respectivamente de 55,6% </w:t>
      </w:r>
      <w:r w:rsidR="00F95CBC">
        <w:t>e de 2,0%.</w:t>
      </w:r>
      <w:r w:rsidR="0037679E">
        <w:t xml:space="preserve"> </w:t>
      </w:r>
      <w:r w:rsidR="004A7ACE">
        <w:t xml:space="preserve">Essa evolução deve-se </w:t>
      </w:r>
      <w:r w:rsidR="00E368A9">
        <w:t xml:space="preserve">a que </w:t>
      </w:r>
      <w:r w:rsidR="004A7ACE">
        <w:t xml:space="preserve">os gastos em P&amp;D interno terem se mantido </w:t>
      </w:r>
      <w:r w:rsidR="006D45D9">
        <w:t xml:space="preserve">em </w:t>
      </w:r>
      <w:r w:rsidR="004A7ACE">
        <w:t xml:space="preserve">crescimento entre 2005 </w:t>
      </w:r>
      <w:r w:rsidR="004A7ACE" w:rsidRPr="00AC01ED">
        <w:t xml:space="preserve">e 2014, enquanto que o total invertido em </w:t>
      </w:r>
      <w:r w:rsidR="0062612E" w:rsidRPr="00AC01ED">
        <w:t xml:space="preserve">atividades </w:t>
      </w:r>
      <w:proofErr w:type="spellStart"/>
      <w:r w:rsidR="0062612E" w:rsidRPr="00AC01ED">
        <w:t>inovativas</w:t>
      </w:r>
      <w:proofErr w:type="spellEnd"/>
      <w:r w:rsidR="0062612E" w:rsidRPr="00AC01ED">
        <w:t xml:space="preserve"> oscilou</w:t>
      </w:r>
      <w:r w:rsidR="00C545E6">
        <w:t xml:space="preserve"> (Tabela 1</w:t>
      </w:r>
      <w:r w:rsidR="00D76A59" w:rsidRPr="00AC01ED">
        <w:t>).</w:t>
      </w:r>
      <w:r w:rsidR="00895CCC" w:rsidRPr="00AC01ED">
        <w:t xml:space="preserve"> </w:t>
      </w:r>
      <w:r w:rsidR="008F5147" w:rsidRPr="00AC01ED">
        <w:t xml:space="preserve">Ademais, </w:t>
      </w:r>
      <w:r w:rsidR="005D74A8" w:rsidRPr="00AC01ED">
        <w:t xml:space="preserve">o crescimento </w:t>
      </w:r>
      <w:r w:rsidR="009978FC">
        <w:t>do Rio Grande do Sul</w:t>
      </w:r>
      <w:r w:rsidR="00E0127C" w:rsidRPr="00AC01ED">
        <w:t xml:space="preserve"> </w:t>
      </w:r>
      <w:r w:rsidR="005D74A8" w:rsidRPr="00AC01ED">
        <w:t xml:space="preserve">em ritmo mais forte </w:t>
      </w:r>
      <w:r w:rsidR="00B758EA" w:rsidRPr="00AC01ED">
        <w:t>levou a um ganho de participação</w:t>
      </w:r>
      <w:r w:rsidR="003B4A81" w:rsidRPr="00AC01ED">
        <w:rPr>
          <w:rStyle w:val="Refdenotaderodap"/>
        </w:rPr>
        <w:footnoteReference w:id="9"/>
      </w:r>
      <w:r w:rsidR="00B758EA" w:rsidRPr="00AC01ED">
        <w:t xml:space="preserve"> </w:t>
      </w:r>
      <w:r w:rsidR="00926E30">
        <w:t>nos dispêndios industriais brasileiros</w:t>
      </w:r>
      <w:r w:rsidR="00E0127C">
        <w:t xml:space="preserve">, </w:t>
      </w:r>
      <w:r w:rsidR="00472E76">
        <w:t xml:space="preserve">passando de 5,6% em atividades </w:t>
      </w:r>
      <w:proofErr w:type="spellStart"/>
      <w:r w:rsidR="00472E76">
        <w:t>inovativas</w:t>
      </w:r>
      <w:proofErr w:type="spellEnd"/>
      <w:r w:rsidR="00472E76">
        <w:t xml:space="preserve"> e de 5,0% em P&amp;D interno em 2005 para resp</w:t>
      </w:r>
      <w:r w:rsidR="00973301">
        <w:t>ectivamente 6,1% e 5,9% em 2014.</w:t>
      </w:r>
      <w:r w:rsidR="00472E76">
        <w:t xml:space="preserve"> </w:t>
      </w:r>
      <w:r w:rsidR="00973301">
        <w:lastRenderedPageBreak/>
        <w:t>Entretanto, o Estado manteve</w:t>
      </w:r>
      <w:r w:rsidR="00E645DE">
        <w:t>-se na quarta colocação em ambas as variáveis</w:t>
      </w:r>
      <w:r w:rsidR="00A83C37">
        <w:t>, atrás de São Paulo, Rio de Janeiro e Minas Gerais</w:t>
      </w:r>
      <w:r w:rsidR="0070617E">
        <w:t>.</w:t>
      </w:r>
      <w:r w:rsidR="00513452">
        <w:t xml:space="preserve"> </w:t>
      </w:r>
      <w:r w:rsidR="00DD6600">
        <w:t>Releva ainda apontar que</w:t>
      </w:r>
      <w:r w:rsidR="00513452">
        <w:t xml:space="preserve"> a proporção dos gastos em P&amp;D interno</w:t>
      </w:r>
      <w:r w:rsidR="005F07D2">
        <w:t xml:space="preserve"> </w:t>
      </w:r>
      <w:r w:rsidR="00513452">
        <w:t xml:space="preserve">em relação ao total de atividades </w:t>
      </w:r>
      <w:proofErr w:type="spellStart"/>
      <w:r w:rsidR="00513452">
        <w:t>inovativas</w:t>
      </w:r>
      <w:proofErr w:type="spellEnd"/>
      <w:r w:rsidR="00513452">
        <w:t xml:space="preserve"> na</w:t>
      </w:r>
      <w:r w:rsidR="007A5FAB">
        <w:t xml:space="preserve"> indústria do Estado</w:t>
      </w:r>
      <w:r w:rsidR="005F07D2">
        <w:t xml:space="preserve"> (30,3%)</w:t>
      </w:r>
      <w:r w:rsidR="00832C31">
        <w:t>,</w:t>
      </w:r>
      <w:r w:rsidR="005F07D2">
        <w:t xml:space="preserve"> </w:t>
      </w:r>
      <w:r w:rsidR="007A5FAB">
        <w:t>aproximou</w:t>
      </w:r>
      <w:r w:rsidR="005F07D2">
        <w:t>-se</w:t>
      </w:r>
      <w:r w:rsidR="00513452">
        <w:t xml:space="preserve"> da média nacional</w:t>
      </w:r>
      <w:r w:rsidR="005F07D2">
        <w:t xml:space="preserve"> (31,5%)</w:t>
      </w:r>
      <w:r w:rsidR="00513452">
        <w:t xml:space="preserve">, mas ainda </w:t>
      </w:r>
      <w:r w:rsidR="007A5FAB">
        <w:t xml:space="preserve">encontra-se </w:t>
      </w:r>
      <w:r w:rsidR="005F07D2">
        <w:t>abaixo da mesma</w:t>
      </w:r>
      <w:r w:rsidR="00513452">
        <w:t xml:space="preserve">. </w:t>
      </w:r>
    </w:p>
    <w:p w14:paraId="6AE402C8" w14:textId="77777777" w:rsidR="00EB1EA5" w:rsidRPr="00B0726A" w:rsidRDefault="00EB1EA5" w:rsidP="00111B87">
      <w:pPr>
        <w:spacing w:line="240" w:lineRule="auto"/>
        <w:ind w:firstLine="0"/>
        <w:rPr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1"/>
        <w:gridCol w:w="720"/>
        <w:gridCol w:w="726"/>
        <w:gridCol w:w="566"/>
        <w:gridCol w:w="692"/>
        <w:gridCol w:w="754"/>
        <w:gridCol w:w="566"/>
        <w:gridCol w:w="665"/>
        <w:gridCol w:w="781"/>
        <w:gridCol w:w="566"/>
        <w:gridCol w:w="780"/>
        <w:gridCol w:w="707"/>
        <w:gridCol w:w="527"/>
      </w:tblGrid>
      <w:tr w:rsidR="009860E5" w:rsidRPr="00EE05FE" w14:paraId="55EE0A79" w14:textId="77777777" w:rsidTr="00FF62D9">
        <w:trPr>
          <w:trHeight w:val="77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5CD33" w14:textId="653D9D3F" w:rsidR="009860E5" w:rsidRPr="00EE05FE" w:rsidRDefault="00C545E6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Tabela 1</w:t>
            </w:r>
            <w:r w:rsidR="009860E5" w:rsidRPr="00EE05FE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:</w:t>
            </w:r>
            <w:proofErr w:type="gramStart"/>
            <w:r w:rsidR="009860E5" w:rsidRPr="00EE05FE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 </w:t>
            </w:r>
            <w:proofErr w:type="gramEnd"/>
            <w:r w:rsidR="009860E5" w:rsidRPr="00EE05FE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Valores dispendi</w:t>
            </w:r>
            <w:r w:rsidR="00DF290A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dos em atividades </w:t>
            </w:r>
            <w:proofErr w:type="spellStart"/>
            <w:r w:rsidR="00DF290A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inovativas</w:t>
            </w:r>
            <w:proofErr w:type="spellEnd"/>
            <w:r w:rsidR="00DF290A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</w:t>
            </w:r>
            <w:r w:rsidR="00DF290A" w:rsidRPr="0019049C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>das</w:t>
            </w:r>
            <w:r w:rsidR="007F6F01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empresas industriais</w:t>
            </w:r>
            <w:r w:rsidR="009860E5" w:rsidRPr="00EE05FE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nos principais Estados industrializados do Brasil: 2005-2014</w:t>
            </w:r>
          </w:p>
        </w:tc>
      </w:tr>
      <w:tr w:rsidR="009860E5" w:rsidRPr="00EE05FE" w14:paraId="3A91A5CC" w14:textId="77777777" w:rsidTr="00FF62D9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4A1D8" w14:textId="77777777" w:rsidR="009860E5" w:rsidRPr="00EE05FE" w:rsidRDefault="009860E5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Valores em R$ milhões a preços de 2014</w:t>
            </w:r>
          </w:p>
        </w:tc>
      </w:tr>
      <w:tr w:rsidR="009860E5" w:rsidRPr="00EE05FE" w14:paraId="06D89B6C" w14:textId="77777777" w:rsidTr="00EB1EA5">
        <w:trPr>
          <w:trHeight w:val="67"/>
        </w:trPr>
        <w:tc>
          <w:tcPr>
            <w:tcW w:w="6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6425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Unidade da Federação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89B8A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3A42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0350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F59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</w:tr>
      <w:tr w:rsidR="00EB1EA5" w:rsidRPr="00EE05FE" w14:paraId="4DB8302E" w14:textId="77777777" w:rsidTr="00EB1EA5">
        <w:trPr>
          <w:trHeight w:val="67"/>
        </w:trPr>
        <w:tc>
          <w:tcPr>
            <w:tcW w:w="6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3CBA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71C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EC0B4" w14:textId="654EA13B" w:rsidR="009860E5" w:rsidRPr="00EE05FE" w:rsidRDefault="00FB6FB9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P&amp;D </w:t>
            </w:r>
            <w:r w:rsidR="009860E5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Interno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71F6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C98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B0DBE" w14:textId="148C30F9" w:rsidR="009860E5" w:rsidRPr="00EE05FE" w:rsidRDefault="00FB6FB9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P&amp;D </w:t>
            </w:r>
            <w:r w:rsidR="009860E5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Interno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19BA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6B70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88C2B" w14:textId="613F8072" w:rsidR="009860E5" w:rsidRPr="00EE05FE" w:rsidRDefault="00FB6FB9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P&amp;D </w:t>
            </w:r>
            <w:r w:rsidR="009860E5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Interno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46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A8C63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8964B" w14:textId="37C28922" w:rsidR="009860E5" w:rsidRPr="00EE05FE" w:rsidRDefault="00FB6FB9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P&amp;D I</w:t>
            </w:r>
            <w:r w:rsidR="009860E5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nterno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A9D7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</w:tr>
      <w:tr w:rsidR="00EB1EA5" w:rsidRPr="00EE05FE" w14:paraId="11DA97EE" w14:textId="77777777" w:rsidTr="00EB1EA5">
        <w:trPr>
          <w:trHeight w:val="6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2D0E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Brasil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B7B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56.496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ECC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11.680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84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76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60.397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F6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14.791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20E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24,5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FF83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60.300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0F2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17.958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E05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29,8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58B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57.638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DA6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18.172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C93B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31,5</w:t>
            </w:r>
          </w:p>
        </w:tc>
      </w:tr>
      <w:tr w:rsidR="00EB1EA5" w:rsidRPr="00EE05FE" w14:paraId="0656794F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17B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-Rio de Janeiro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D21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4.835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98D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1.901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8F6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39,3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42B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5.633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B686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2.689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94A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47,7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EA53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7.291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685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4.983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023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68,3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F7D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6.438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E1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3.724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CC0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57,8</w:t>
            </w:r>
          </w:p>
        </w:tc>
      </w:tr>
      <w:tr w:rsidR="00EB1EA5" w:rsidRPr="00EE05FE" w14:paraId="7A8D8EAB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9115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-Santa Catarina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B41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2.277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C1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513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BFF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4EA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2.076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344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351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890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16,9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FE1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3.485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2893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856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64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24,5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6AB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2.680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D8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3D1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33,4</w:t>
            </w:r>
          </w:p>
        </w:tc>
      </w:tr>
      <w:tr w:rsidR="00EB1EA5" w:rsidRPr="00EE05FE" w14:paraId="11F58FC8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4F1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-São Paulo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FDE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31.438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6446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6.753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E1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21,5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302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30.295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48CB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7.956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F5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996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27.013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9D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7.741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D9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28,7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3F15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27.393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AA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8.821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D7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32,2</w:t>
            </w:r>
          </w:p>
        </w:tc>
      </w:tr>
      <w:tr w:rsidR="00EB1EA5" w:rsidRPr="00EE05FE" w14:paraId="75659F51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9971" w14:textId="3FC51D9A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</w:t>
            </w:r>
            <w:r w:rsidR="00EB1EA5"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Rio G.</w:t>
            </w: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do Sul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36DA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3.161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28E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7D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18,3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F76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3.751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629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642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26FA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17,1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22C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3.406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23F5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942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48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27,6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180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3.519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9AF6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1.067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D350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30,3</w:t>
            </w:r>
          </w:p>
        </w:tc>
      </w:tr>
      <w:tr w:rsidR="00EB1EA5" w:rsidRPr="00EE05FE" w14:paraId="6C836BFB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EE9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-Minas Gerais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6D7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5.080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E38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759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3FD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14,9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C39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7.953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94E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1.654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75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20,8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238F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7.636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EA1B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1.571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00C0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20,6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91CD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4.492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4D5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1.180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39B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26,3</w:t>
            </w:r>
          </w:p>
        </w:tc>
      </w:tr>
      <w:tr w:rsidR="00EB1EA5" w:rsidRPr="00EE05FE" w14:paraId="263FC9E3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1DD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-Paraná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217F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2.561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C02E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359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3A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14,0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301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2.936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234C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534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9E3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18,2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63B0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2.933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0F95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736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AD4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25,1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6A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3.170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BD8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B9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25,0</w:t>
            </w:r>
          </w:p>
        </w:tc>
      </w:tr>
      <w:tr w:rsidR="00EB1EA5" w:rsidRPr="00EE05FE" w14:paraId="5A81DF64" w14:textId="77777777" w:rsidTr="00EB1EA5">
        <w:trPr>
          <w:trHeight w:val="77"/>
        </w:trPr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CE9F" w14:textId="77777777" w:rsidR="009860E5" w:rsidRPr="00EE05FE" w:rsidRDefault="009860E5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-Outros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39CB5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7.144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717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3E7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6E552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7.754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2A71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1EF9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DFBD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8.535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34896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8864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65BB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9.947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8516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1.693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661C8" w14:textId="77777777" w:rsidR="009860E5" w:rsidRPr="00EE05FE" w:rsidRDefault="009860E5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17,0</w:t>
            </w:r>
          </w:p>
        </w:tc>
      </w:tr>
      <w:tr w:rsidR="009860E5" w:rsidRPr="00EE05FE" w14:paraId="698EECC8" w14:textId="77777777" w:rsidTr="00EB1EA5">
        <w:trPr>
          <w:trHeight w:val="6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DFD6" w14:textId="77777777" w:rsidR="009860E5" w:rsidRPr="00EE05FE" w:rsidRDefault="009860E5" w:rsidP="00111B87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9860E5" w:rsidRPr="00EE05FE" w14:paraId="50C2F37C" w14:textId="77777777" w:rsidTr="00EB1EA5">
        <w:trPr>
          <w:trHeight w:val="7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E9EE8" w14:textId="79204B0F" w:rsidR="009860E5" w:rsidRPr="00EE05FE" w:rsidRDefault="009860E5" w:rsidP="00111B87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Nota: </w:t>
            </w:r>
            <w:r w:rsidR="00EB3044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Foram consideradas as empresas </w:t>
            </w:r>
            <w:r w:rsidR="00EF7FBA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industriais </w:t>
            </w:r>
            <w:r w:rsidR="00EB3044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que </w:t>
            </w:r>
            <w:proofErr w:type="gramStart"/>
            <w:r w:rsidR="00EB3044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implementaram</w:t>
            </w:r>
            <w:proofErr w:type="gramEnd"/>
            <w:r w:rsidR="00EB3044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pr</w:t>
            </w:r>
            <w:r w:rsidR="001838B8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oduto e/ou </w:t>
            </w:r>
            <w:r w:rsidR="00EB3044"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processo tecnologicamente novo ou substancialmente aprimorado, que desenvolveram projetos que foram abandonados ou ficaram incompletos, e que realizaram mudanças organizacionais. </w:t>
            </w:r>
            <w:r w:rsidRPr="00EE05FE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Valores deflacionados pelo IGP-DI/FGV (IPEA, 2017).</w:t>
            </w:r>
          </w:p>
        </w:tc>
      </w:tr>
    </w:tbl>
    <w:p w14:paraId="3C39B5D5" w14:textId="77777777" w:rsidR="009860E5" w:rsidRPr="00B0726A" w:rsidRDefault="009860E5" w:rsidP="00111B87">
      <w:pPr>
        <w:spacing w:line="240" w:lineRule="auto"/>
        <w:ind w:firstLine="0"/>
        <w:rPr>
          <w:sz w:val="16"/>
          <w:szCs w:val="16"/>
        </w:rPr>
      </w:pPr>
    </w:p>
    <w:p w14:paraId="23977C06" w14:textId="7E89F58E" w:rsidR="007832A8" w:rsidRDefault="00043346" w:rsidP="00D677B8">
      <w:r w:rsidRPr="00F86BE4">
        <w:rPr>
          <w:highlight w:val="green"/>
        </w:rPr>
        <w:t>Esse</w:t>
      </w:r>
      <w:r w:rsidR="00B944BE">
        <w:t xml:space="preserve"> crescimento mais intenso</w:t>
      </w:r>
      <w:r w:rsidR="0070617E">
        <w:t xml:space="preserve"> </w:t>
      </w:r>
      <w:r>
        <w:t>também se refletiu em</w:t>
      </w:r>
      <w:r w:rsidR="00DB10EA">
        <w:t xml:space="preserve"> maior esforço tecnológico interno </w:t>
      </w:r>
      <w:r w:rsidR="00F760F2">
        <w:t>n</w:t>
      </w:r>
      <w:r w:rsidR="0070617E">
        <w:t xml:space="preserve">as empresas industriais do Rio Grande do Sul </w:t>
      </w:r>
      <w:r w:rsidR="00E0367C">
        <w:t xml:space="preserve">e do Brasil </w:t>
      </w:r>
      <w:r w:rsidR="00DB10EA">
        <w:t>de 2005 a 2014</w:t>
      </w:r>
      <w:r w:rsidR="00606820">
        <w:t>.</w:t>
      </w:r>
      <w:r w:rsidR="00AE4B06">
        <w:t xml:space="preserve"> </w:t>
      </w:r>
      <w:r w:rsidR="00874D16">
        <w:t>Isto é, a fração do dispêndio em atividades internas de P&amp;D em relação aos recursos próprios</w:t>
      </w:r>
      <w:r w:rsidR="008F6DA8">
        <w:t xml:space="preserve"> das empresas</w:t>
      </w:r>
      <w:r w:rsidR="00874D16">
        <w:t>, no c</w:t>
      </w:r>
      <w:r w:rsidR="0063257E">
        <w:t>aso a receita líquida de vendas</w:t>
      </w:r>
      <w:r w:rsidR="00FA05E7">
        <w:t>.</w:t>
      </w:r>
      <w:r w:rsidR="00316009">
        <w:t xml:space="preserve"> Para o Estado</w:t>
      </w:r>
      <w:r w:rsidR="00EE253A">
        <w:t>,</w:t>
      </w:r>
      <w:r w:rsidR="00316009">
        <w:t xml:space="preserve"> o esforço tecnológico interno </w:t>
      </w:r>
      <w:r w:rsidR="0063257E" w:rsidRPr="00F44B07">
        <w:t>apresentou elevação contínua no período, passando</w:t>
      </w:r>
      <w:r w:rsidR="00316009" w:rsidRPr="00F44B07">
        <w:t xml:space="preserve"> de </w:t>
      </w:r>
      <w:r w:rsidR="0063257E" w:rsidRPr="00F44B07">
        <w:t>0,40% em 2005 para 0,65%</w:t>
      </w:r>
      <w:r w:rsidR="00FA05E7" w:rsidRPr="00F44B07">
        <w:t xml:space="preserve"> </w:t>
      </w:r>
      <w:r w:rsidR="00281F9C">
        <w:t xml:space="preserve">em 2014. </w:t>
      </w:r>
      <w:r w:rsidR="00D677B8" w:rsidRPr="00F44B07">
        <w:t>Incl</w:t>
      </w:r>
      <w:r w:rsidR="000B0B2D" w:rsidRPr="00F44B07">
        <w:t xml:space="preserve">usive, </w:t>
      </w:r>
      <w:r w:rsidR="00D677B8" w:rsidRPr="00F44B07">
        <w:t>tal continuidad</w:t>
      </w:r>
      <w:r w:rsidR="00DD350F" w:rsidRPr="00F44B07">
        <w:t>e no crescimento do esforço tecnológico interno</w:t>
      </w:r>
      <w:r w:rsidR="00D677B8" w:rsidRPr="00F44B07">
        <w:t xml:space="preserve"> não ocorreu nos demais estados industrializados</w:t>
      </w:r>
      <w:r w:rsidR="00D677B8">
        <w:t xml:space="preserve"> e</w:t>
      </w:r>
      <w:r w:rsidR="008A01BE">
        <w:t xml:space="preserve"> na média nacional, cujas</w:t>
      </w:r>
      <w:r w:rsidR="00D677B8">
        <w:t xml:space="preserve"> oscilações </w:t>
      </w:r>
      <w:r w:rsidR="00227785">
        <w:t>foram significativas.</w:t>
      </w:r>
      <w:r w:rsidR="00D677B8">
        <w:t xml:space="preserve"> </w:t>
      </w:r>
      <w:r w:rsidR="00227785">
        <w:t xml:space="preserve">Ainda assim, </w:t>
      </w:r>
      <w:r w:rsidR="00D677B8">
        <w:t>o saldo ao fi</w:t>
      </w:r>
      <w:r w:rsidR="00227785">
        <w:t xml:space="preserve">nal do período </w:t>
      </w:r>
      <w:r w:rsidR="00254131">
        <w:t xml:space="preserve">nas Unidades da Federação selecionadas </w:t>
      </w:r>
      <w:r w:rsidR="00227785">
        <w:t>também foi</w:t>
      </w:r>
      <w:r w:rsidR="00D677B8">
        <w:t xml:space="preserve"> positivo, colocando-se em 2014</w:t>
      </w:r>
      <w:r w:rsidR="00254131">
        <w:t xml:space="preserve"> acima do patamar de 2005 </w:t>
      </w:r>
      <w:r w:rsidR="009929FF">
        <w:t xml:space="preserve">(Gráfico </w:t>
      </w:r>
      <w:proofErr w:type="gramStart"/>
      <w:r w:rsidR="009929FF">
        <w:t>1</w:t>
      </w:r>
      <w:proofErr w:type="gramEnd"/>
      <w:r w:rsidR="00227785">
        <w:t>)</w:t>
      </w:r>
      <w:r w:rsidR="00D677B8">
        <w:t xml:space="preserve">. </w:t>
      </w:r>
      <w:r w:rsidR="00C86323">
        <w:t>Este é um ponto quantitativo e qualitativo que merece destaque, dado que a realização de P&amp;D interno</w:t>
      </w:r>
      <w:r w:rsidR="00092A7F">
        <w:t>,</w:t>
      </w:r>
      <w:r w:rsidR="00C86323">
        <w:t xml:space="preserve"> </w:t>
      </w:r>
      <w:r w:rsidR="00092A7F">
        <w:t xml:space="preserve">de um modo geral, </w:t>
      </w:r>
      <w:r w:rsidR="002452EA" w:rsidRPr="002452EA">
        <w:rPr>
          <w:highlight w:val="green"/>
        </w:rPr>
        <w:t>possui um caráter estratégico diferenciado</w:t>
      </w:r>
      <w:r w:rsidR="00445096">
        <w:t xml:space="preserve">, </w:t>
      </w:r>
      <w:r w:rsidR="00867AF4">
        <w:t xml:space="preserve">permitindo maior acúmulo de conhecimento e </w:t>
      </w:r>
      <w:r w:rsidR="00B53823">
        <w:t xml:space="preserve">potencial para </w:t>
      </w:r>
      <w:r w:rsidR="00CA3AD9">
        <w:t>inovação em produtos e processos produtivos.</w:t>
      </w:r>
    </w:p>
    <w:p w14:paraId="3D9779C7" w14:textId="722884E1" w:rsidR="0047752A" w:rsidRDefault="000772DF" w:rsidP="00EC16E1">
      <w:r>
        <w:t>De</w:t>
      </w:r>
      <w:r w:rsidR="00933C20">
        <w:t xml:space="preserve"> outro lado, </w:t>
      </w:r>
      <w:r w:rsidR="000504AA">
        <w:t xml:space="preserve">o esforço </w:t>
      </w:r>
      <w:r w:rsidR="00443205">
        <w:t xml:space="preserve">empreendido </w:t>
      </w:r>
      <w:r w:rsidR="00B943BC">
        <w:t xml:space="preserve">pelas empresas industriais </w:t>
      </w:r>
      <w:r w:rsidR="000504AA">
        <w:t xml:space="preserve">em atividades </w:t>
      </w:r>
      <w:proofErr w:type="spellStart"/>
      <w:r w:rsidR="000504AA">
        <w:t>inovativas</w:t>
      </w:r>
      <w:proofErr w:type="spellEnd"/>
      <w:r w:rsidR="000504AA">
        <w:t xml:space="preserve"> não demonstrou o mesmo dinamismo</w:t>
      </w:r>
      <w:r w:rsidR="00655499">
        <w:t>, tendo apresentado oscilações</w:t>
      </w:r>
      <w:r w:rsidR="000504AA">
        <w:t xml:space="preserve">. De fato, </w:t>
      </w:r>
      <w:r w:rsidR="00C64EE5">
        <w:t>no Rio Grande do Sul esses dispêndios apresentaram pontos de máximo de 2,28% em 2008 e de mínimo de 2,13% em 2014.</w:t>
      </w:r>
      <w:r w:rsidR="00584E5B">
        <w:t xml:space="preserve"> Em comparação aos demais estados ind</w:t>
      </w:r>
      <w:r w:rsidR="003550E9">
        <w:t>ustrializados e à</w:t>
      </w:r>
      <w:r w:rsidR="00584E5B">
        <w:t xml:space="preserve"> média nacio</w:t>
      </w:r>
      <w:r w:rsidR="00B943BC">
        <w:t>nal, seu</w:t>
      </w:r>
      <w:r w:rsidR="004C27C4">
        <w:t xml:space="preserve"> comportamento</w:t>
      </w:r>
      <w:r w:rsidR="00584E5B">
        <w:t xml:space="preserve"> foi mais </w:t>
      </w:r>
      <w:r w:rsidR="004C27C4">
        <w:t xml:space="preserve">estável. </w:t>
      </w:r>
      <w:r w:rsidR="00EC49E7">
        <w:t>No cômputo total da</w:t>
      </w:r>
      <w:r w:rsidR="00572903">
        <w:t xml:space="preserve"> indústria brasileira</w:t>
      </w:r>
      <w:r w:rsidR="00EC6255">
        <w:t>,</w:t>
      </w:r>
      <w:r w:rsidR="003B5A70">
        <w:t xml:space="preserve"> </w:t>
      </w:r>
      <w:r w:rsidR="00EC6255">
        <w:t>o período apresentou um declínio contínuo</w:t>
      </w:r>
      <w:r w:rsidR="00B760D2">
        <w:t xml:space="preserve"> no período</w:t>
      </w:r>
      <w:r w:rsidR="00EC6255">
        <w:t xml:space="preserve">, de 2,77% para 2,12%. No que tange </w:t>
      </w:r>
      <w:r w:rsidR="00502A4C">
        <w:t>a indústria d</w:t>
      </w:r>
      <w:r w:rsidR="00EC6255">
        <w:t xml:space="preserve">os demais estados selecionados, São Paulo e Paraná tiveram quedas </w:t>
      </w:r>
      <w:r w:rsidR="001F371E">
        <w:t>praticamente constantes, enquanto que em Rio de Janeiro, Min</w:t>
      </w:r>
      <w:r w:rsidR="00682BCF">
        <w:t>as Gerais e Santa Catarina as</w:t>
      </w:r>
      <w:r w:rsidR="001F371E">
        <w:t xml:space="preserve"> oscilações </w:t>
      </w:r>
      <w:r w:rsidR="00682BCF">
        <w:t xml:space="preserve">foram </w:t>
      </w:r>
      <w:r w:rsidR="001F371E">
        <w:t xml:space="preserve">mais significativas do que </w:t>
      </w:r>
      <w:r w:rsidR="00502A4C">
        <w:t>n</w:t>
      </w:r>
      <w:r w:rsidR="001F371E">
        <w:t>o Rio Grande do Sul</w:t>
      </w:r>
      <w:r w:rsidR="008B3BDC">
        <w:t xml:space="preserve"> (Gráfico </w:t>
      </w:r>
      <w:proofErr w:type="gramStart"/>
      <w:r w:rsidR="008B3BDC">
        <w:t>1</w:t>
      </w:r>
      <w:proofErr w:type="gramEnd"/>
      <w:r w:rsidR="001576A0">
        <w:t>)</w:t>
      </w:r>
      <w:r w:rsidR="001F371E">
        <w:t>.</w:t>
      </w:r>
    </w:p>
    <w:p w14:paraId="52024629" w14:textId="012107F4" w:rsidR="006002D9" w:rsidRDefault="006002D9" w:rsidP="002D2E1A">
      <w:r>
        <w:lastRenderedPageBreak/>
        <w:t xml:space="preserve">Assim, </w:t>
      </w:r>
      <w:r w:rsidR="00623996">
        <w:t>no âmbito geral</w:t>
      </w:r>
      <w:r w:rsidR="00C15C24">
        <w:t xml:space="preserve">, </w:t>
      </w:r>
      <w:r>
        <w:t xml:space="preserve">a posição relativa da indústria gaúcha </w:t>
      </w:r>
      <w:r w:rsidR="002D2E1A">
        <w:t xml:space="preserve">no Brasil, tanto </w:t>
      </w:r>
      <w:r w:rsidR="008F1BD9">
        <w:t>em termos de esforço</w:t>
      </w:r>
      <w:r>
        <w:t xml:space="preserve"> </w:t>
      </w:r>
      <w:r w:rsidR="00C15C24">
        <w:t xml:space="preserve">próprio </w:t>
      </w:r>
      <w:r w:rsidR="002D2E1A">
        <w:t xml:space="preserve">quanto em atividades </w:t>
      </w:r>
      <w:r w:rsidR="008B5FA9">
        <w:t>de inovação</w:t>
      </w:r>
      <w:r w:rsidR="008724EB">
        <w:t>,</w:t>
      </w:r>
      <w:r w:rsidR="00C15C24">
        <w:t xml:space="preserve"> </w:t>
      </w:r>
      <w:r w:rsidR="00C819C4">
        <w:t xml:space="preserve">teve uma </w:t>
      </w:r>
      <w:r w:rsidR="00354011">
        <w:t>melhora</w:t>
      </w:r>
      <w:r w:rsidR="002D2E1A">
        <w:t xml:space="preserve"> em decorrência de ambos os movimentos</w:t>
      </w:r>
      <w:r w:rsidR="00354011">
        <w:t xml:space="preserve">. </w:t>
      </w:r>
      <w:r>
        <w:t>Com isso, os hiatos observados em</w:t>
      </w:r>
      <w:r w:rsidR="008F1BD9">
        <w:t xml:space="preserve"> 2005 nos esforços </w:t>
      </w:r>
      <w:r>
        <w:t xml:space="preserve">em atividades </w:t>
      </w:r>
      <w:proofErr w:type="spellStart"/>
      <w:r>
        <w:t>inovativas</w:t>
      </w:r>
      <w:proofErr w:type="spellEnd"/>
      <w:r>
        <w:t xml:space="preserve"> e em P&amp;D interno, em relação aos estados industrializad</w:t>
      </w:r>
      <w:r w:rsidR="005E6371">
        <w:t xml:space="preserve">os, se reduzem </w:t>
      </w:r>
      <w:r>
        <w:t>até 2014, aproximando a indúst</w:t>
      </w:r>
      <w:r w:rsidR="002D2E1A">
        <w:t>ria gaúcha do patamar seguido na média do</w:t>
      </w:r>
      <w:r>
        <w:t xml:space="preserve"> Brasil.</w:t>
      </w:r>
      <w:r w:rsidR="00CA3E9F">
        <w:t xml:space="preserve"> Mesmo</w:t>
      </w:r>
      <w:r w:rsidR="00B460E7">
        <w:t xml:space="preserve"> assim, cabe salientar que o Estado ainda </w:t>
      </w:r>
      <w:r w:rsidR="00F72BA2">
        <w:t xml:space="preserve">encontrava-se em 2014 </w:t>
      </w:r>
      <w:r w:rsidR="00B460E7">
        <w:t>abaixo da média nacional em esforço em P&amp;D interno, sobretudo, devido a São Paulo e Rio de Janeiro (muito inf</w:t>
      </w:r>
      <w:r w:rsidR="00F72BA2">
        <w:t>luenci</w:t>
      </w:r>
      <w:r w:rsidR="00B35013">
        <w:t xml:space="preserve">ado pela Petrobrás) </w:t>
      </w:r>
      <w:r w:rsidR="00F72BA2">
        <w:t>ter</w:t>
      </w:r>
      <w:r w:rsidR="00B35013">
        <w:t>em apresentado</w:t>
      </w:r>
      <w:r w:rsidR="00F72BA2">
        <w:t xml:space="preserve"> </w:t>
      </w:r>
      <w:r w:rsidR="00B460E7">
        <w:t>maior intensidade.</w:t>
      </w:r>
    </w:p>
    <w:p w14:paraId="0980C1BA" w14:textId="77777777" w:rsidR="00BD6D18" w:rsidRPr="00B0726A" w:rsidRDefault="00BD6D18" w:rsidP="00111B87">
      <w:pPr>
        <w:spacing w:line="240" w:lineRule="auto"/>
        <w:ind w:firstLine="0"/>
        <w:rPr>
          <w:sz w:val="16"/>
          <w:szCs w:val="16"/>
        </w:rPr>
      </w:pPr>
    </w:p>
    <w:p w14:paraId="65A82699" w14:textId="623AC9CF" w:rsidR="00444966" w:rsidRPr="008329DC" w:rsidRDefault="00444966" w:rsidP="00111B87">
      <w:pPr>
        <w:spacing w:line="240" w:lineRule="auto"/>
        <w:ind w:firstLine="0"/>
        <w:jc w:val="center"/>
        <w:rPr>
          <w:rFonts w:ascii="Arial" w:hAnsi="Arial" w:cs="Arial"/>
          <w:b/>
          <w:sz w:val="16"/>
          <w:szCs w:val="16"/>
        </w:rPr>
      </w:pPr>
      <w:r w:rsidRPr="008329DC">
        <w:rPr>
          <w:rFonts w:ascii="Arial" w:hAnsi="Arial" w:cs="Arial"/>
          <w:b/>
          <w:sz w:val="16"/>
          <w:szCs w:val="16"/>
        </w:rPr>
        <w:t>Gráfi</w:t>
      </w:r>
      <w:r w:rsidR="003B22D6">
        <w:rPr>
          <w:rFonts w:ascii="Arial" w:hAnsi="Arial" w:cs="Arial"/>
          <w:b/>
          <w:sz w:val="16"/>
          <w:szCs w:val="16"/>
        </w:rPr>
        <w:t xml:space="preserve">co </w:t>
      </w:r>
      <w:proofErr w:type="gramStart"/>
      <w:r w:rsidR="005A7AFB">
        <w:rPr>
          <w:rFonts w:ascii="Arial" w:hAnsi="Arial" w:cs="Arial"/>
          <w:b/>
          <w:sz w:val="16"/>
          <w:szCs w:val="16"/>
        </w:rPr>
        <w:t>1</w:t>
      </w:r>
      <w:proofErr w:type="gramEnd"/>
      <w:r w:rsidR="005A7AFB">
        <w:rPr>
          <w:rFonts w:ascii="Arial" w:hAnsi="Arial" w:cs="Arial"/>
          <w:b/>
          <w:sz w:val="16"/>
          <w:szCs w:val="16"/>
        </w:rPr>
        <w:t xml:space="preserve">: Esforço </w:t>
      </w:r>
      <w:r w:rsidR="003559ED">
        <w:rPr>
          <w:rFonts w:ascii="Arial" w:hAnsi="Arial" w:cs="Arial"/>
          <w:b/>
          <w:sz w:val="16"/>
          <w:szCs w:val="16"/>
        </w:rPr>
        <w:t>em</w:t>
      </w:r>
      <w:r w:rsidRPr="008329DC">
        <w:rPr>
          <w:rFonts w:ascii="Arial" w:hAnsi="Arial" w:cs="Arial"/>
          <w:b/>
          <w:sz w:val="16"/>
          <w:szCs w:val="16"/>
        </w:rPr>
        <w:t xml:space="preserve"> atividades</w:t>
      </w:r>
      <w:r w:rsidR="00FE4E1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FE4E1A">
        <w:rPr>
          <w:rFonts w:ascii="Arial" w:hAnsi="Arial" w:cs="Arial"/>
          <w:b/>
          <w:sz w:val="16"/>
          <w:szCs w:val="16"/>
        </w:rPr>
        <w:t>inovativas</w:t>
      </w:r>
      <w:proofErr w:type="spellEnd"/>
      <w:r w:rsidR="00FE4E1A">
        <w:rPr>
          <w:rFonts w:ascii="Arial" w:hAnsi="Arial" w:cs="Arial"/>
          <w:b/>
          <w:sz w:val="16"/>
          <w:szCs w:val="16"/>
        </w:rPr>
        <w:t xml:space="preserve"> e em P&amp;D interno de</w:t>
      </w:r>
      <w:r w:rsidRPr="008329DC">
        <w:rPr>
          <w:rFonts w:ascii="Arial" w:hAnsi="Arial" w:cs="Arial"/>
          <w:b/>
          <w:sz w:val="16"/>
          <w:szCs w:val="16"/>
        </w:rPr>
        <w:t xml:space="preserve"> empresas industriais inovadoras nos principais estados industrializados do Brasil: 200</w:t>
      </w:r>
      <w:r w:rsidR="00A93E4B">
        <w:rPr>
          <w:rFonts w:ascii="Arial" w:hAnsi="Arial" w:cs="Arial"/>
          <w:b/>
          <w:sz w:val="16"/>
          <w:szCs w:val="16"/>
        </w:rPr>
        <w:t>5</w:t>
      </w:r>
      <w:r w:rsidRPr="008329DC">
        <w:rPr>
          <w:rFonts w:ascii="Arial" w:hAnsi="Arial" w:cs="Arial"/>
          <w:b/>
          <w:sz w:val="16"/>
          <w:szCs w:val="16"/>
        </w:rPr>
        <w:t>-2014</w:t>
      </w:r>
      <w:r w:rsidR="00C75199">
        <w:rPr>
          <w:rFonts w:ascii="Arial" w:hAnsi="Arial" w:cs="Arial"/>
          <w:b/>
          <w:sz w:val="16"/>
          <w:szCs w:val="16"/>
        </w:rPr>
        <w:t xml:space="preserve"> – (%)</w:t>
      </w:r>
    </w:p>
    <w:p w14:paraId="4DE7BC36" w14:textId="77777777" w:rsidR="00A57BA8" w:rsidRPr="008329DC" w:rsidRDefault="00A57BA8" w:rsidP="00111B87">
      <w:pPr>
        <w:spacing w:line="240" w:lineRule="auto"/>
        <w:rPr>
          <w:rFonts w:ascii="Arial" w:hAnsi="Arial" w:cs="Arial"/>
          <w:sz w:val="16"/>
          <w:szCs w:val="16"/>
        </w:rPr>
        <w:sectPr w:rsidR="00A57BA8" w:rsidRPr="008329DC" w:rsidSect="00DC155A">
          <w:footerReference w:type="even" r:id="rId9"/>
          <w:footerReference w:type="default" r:id="rId10"/>
          <w:pgSz w:w="11900" w:h="16840"/>
          <w:pgMar w:top="1701" w:right="1134" w:bottom="1134" w:left="1701" w:header="708" w:footer="708" w:gutter="0"/>
          <w:cols w:space="708"/>
          <w:titlePg/>
          <w:docGrid w:linePitch="360"/>
        </w:sectPr>
      </w:pPr>
    </w:p>
    <w:p w14:paraId="48B8A732" w14:textId="26F1A38A" w:rsidR="0070617E" w:rsidRPr="008329DC" w:rsidRDefault="00A57BA8" w:rsidP="00111B87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r w:rsidRPr="008329DC">
        <w:rPr>
          <w:rFonts w:ascii="Arial" w:hAnsi="Arial" w:cs="Arial"/>
          <w:noProof/>
          <w:sz w:val="16"/>
          <w:szCs w:val="16"/>
          <w:lang w:eastAsia="pt-BR"/>
        </w:rPr>
        <w:lastRenderedPageBreak/>
        <w:drawing>
          <wp:inline distT="0" distB="0" distL="0" distR="0" wp14:anchorId="1F1BA2A7" wp14:editId="5B4CA72A">
            <wp:extent cx="2877625" cy="3239965"/>
            <wp:effectExtent l="0" t="0" r="18415" b="368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F2F7FC" w14:textId="3717CF6C" w:rsidR="0070617E" w:rsidRPr="008329DC" w:rsidRDefault="00E6370A" w:rsidP="00111B87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r w:rsidRPr="008329DC">
        <w:rPr>
          <w:rFonts w:ascii="Arial" w:hAnsi="Arial" w:cs="Arial"/>
          <w:noProof/>
          <w:sz w:val="16"/>
          <w:szCs w:val="16"/>
          <w:lang w:eastAsia="pt-BR"/>
        </w:rPr>
        <w:lastRenderedPageBreak/>
        <w:drawing>
          <wp:inline distT="0" distB="0" distL="0" distR="0" wp14:anchorId="277D2A65" wp14:editId="3911F14F">
            <wp:extent cx="2875915" cy="3238695"/>
            <wp:effectExtent l="0" t="0" r="19685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905872" w14:textId="77777777" w:rsidR="004108BB" w:rsidRPr="008329DC" w:rsidRDefault="004108BB" w:rsidP="00111B87">
      <w:pPr>
        <w:spacing w:line="240" w:lineRule="auto"/>
        <w:ind w:firstLine="0"/>
        <w:rPr>
          <w:rFonts w:ascii="Arial" w:hAnsi="Arial" w:cs="Arial"/>
          <w:sz w:val="16"/>
          <w:szCs w:val="16"/>
        </w:rPr>
        <w:sectPr w:rsidR="004108BB" w:rsidRPr="008329DC" w:rsidSect="00A57BA8">
          <w:type w:val="continuous"/>
          <w:pgSz w:w="11900" w:h="16840"/>
          <w:pgMar w:top="1701" w:right="1134" w:bottom="1134" w:left="1701" w:header="708" w:footer="708" w:gutter="0"/>
          <w:cols w:num="2" w:space="7"/>
          <w:titlePg/>
          <w:docGrid w:linePitch="360"/>
        </w:sectPr>
      </w:pPr>
    </w:p>
    <w:p w14:paraId="16753F63" w14:textId="38FF3109" w:rsidR="00A57BA8" w:rsidRDefault="008329DC" w:rsidP="00111B87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r w:rsidRPr="008329DC">
        <w:rPr>
          <w:rFonts w:ascii="Arial" w:hAnsi="Arial" w:cs="Arial"/>
          <w:sz w:val="16"/>
          <w:szCs w:val="16"/>
        </w:rPr>
        <w:lastRenderedPageBreak/>
        <w:t>Fonte: IBGE (2007, 2010, 2013 e 2016). Elaboração do autor.</w:t>
      </w:r>
    </w:p>
    <w:p w14:paraId="3F2B3CCE" w14:textId="7E231D15" w:rsidR="008329DC" w:rsidRPr="008329DC" w:rsidRDefault="008329DC" w:rsidP="00111B87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</w:t>
      </w:r>
      <w:r w:rsidR="005A7AFB">
        <w:rPr>
          <w:rFonts w:ascii="Arial" w:eastAsia="Times New Roman" w:hAnsi="Arial" w:cs="Arial"/>
          <w:color w:val="000000"/>
          <w:spacing w:val="-8"/>
          <w:sz w:val="16"/>
          <w:szCs w:val="16"/>
        </w:rPr>
        <w:t>O “esforço</w:t>
      </w:r>
      <w:r w:rsidR="00EB3044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” é calculado como a participação (%) dos dispêndios totais em atividades </w:t>
      </w:r>
      <w:proofErr w:type="spellStart"/>
      <w:r w:rsidR="00EB3044">
        <w:rPr>
          <w:rFonts w:ascii="Arial" w:eastAsia="Times New Roman" w:hAnsi="Arial" w:cs="Arial"/>
          <w:color w:val="000000"/>
          <w:spacing w:val="-8"/>
          <w:sz w:val="16"/>
          <w:szCs w:val="16"/>
        </w:rPr>
        <w:t>inovativas</w:t>
      </w:r>
      <w:proofErr w:type="spellEnd"/>
      <w:r w:rsidR="00EB3044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 e em P&amp;D interno como uma fração da receita líquida de vendas. </w:t>
      </w:r>
      <w:r w:rsidR="00EF7FBA" w:rsidRPr="00EF7FBA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Foram consideradas as empresas industriais que </w:t>
      </w:r>
      <w:proofErr w:type="gramStart"/>
      <w:r w:rsidR="00EF7FBA" w:rsidRPr="00EF7FBA">
        <w:rPr>
          <w:rFonts w:ascii="Arial" w:eastAsia="Times New Roman" w:hAnsi="Arial" w:cs="Arial"/>
          <w:color w:val="000000"/>
          <w:spacing w:val="-8"/>
          <w:sz w:val="16"/>
          <w:szCs w:val="16"/>
        </w:rPr>
        <w:t>implementaram</w:t>
      </w:r>
      <w:proofErr w:type="gramEnd"/>
      <w:r w:rsidR="00EF7FBA" w:rsidRPr="00EF7FBA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 produto  e/ou  processo tecnologicamente novo ou substancialmente aprimorado, que desenvolveram projetos que foram abandonados ou ficaram incompletos, e que reali</w:t>
      </w:r>
      <w:r w:rsidR="00EF7FBA">
        <w:rPr>
          <w:rFonts w:ascii="Arial" w:eastAsia="Times New Roman" w:hAnsi="Arial" w:cs="Arial"/>
          <w:color w:val="000000"/>
          <w:spacing w:val="-8"/>
          <w:sz w:val="16"/>
          <w:szCs w:val="16"/>
        </w:rPr>
        <w:t>zaram mudanças organizacionais.</w:t>
      </w:r>
    </w:p>
    <w:p w14:paraId="7C07CED6" w14:textId="77777777" w:rsidR="00244E49" w:rsidRPr="00B0726A" w:rsidRDefault="00244E49" w:rsidP="00111B87">
      <w:pPr>
        <w:spacing w:line="240" w:lineRule="auto"/>
        <w:ind w:firstLine="0"/>
        <w:rPr>
          <w:sz w:val="16"/>
          <w:szCs w:val="16"/>
          <w:highlight w:val="red"/>
        </w:rPr>
      </w:pPr>
    </w:p>
    <w:p w14:paraId="4E01A11F" w14:textId="3D8F8E09" w:rsidR="0004399F" w:rsidRDefault="007A1732" w:rsidP="00B75840">
      <w:r>
        <w:t>A ampliação</w:t>
      </w:r>
      <w:r w:rsidR="00796568">
        <w:t xml:space="preserve"> do esforço te</w:t>
      </w:r>
      <w:r w:rsidR="00D3500E">
        <w:t>cnológico interno na indústria n</w:t>
      </w:r>
      <w:r w:rsidR="00796568">
        <w:t xml:space="preserve">o Rio Grande do Sul </w:t>
      </w:r>
      <w:r w:rsidR="0004399F">
        <w:t xml:space="preserve">e no Brasil </w:t>
      </w:r>
      <w:r w:rsidR="00796568">
        <w:t xml:space="preserve">indica que houve </w:t>
      </w:r>
      <w:r w:rsidR="0004399F">
        <w:t>um</w:t>
      </w:r>
      <w:r w:rsidR="00342FA7">
        <w:t>a maior percepção</w:t>
      </w:r>
      <w:r w:rsidR="0004399F">
        <w:t xml:space="preserve"> do</w:t>
      </w:r>
      <w:r w:rsidR="0004399F" w:rsidRPr="00045ED3">
        <w:t xml:space="preserve"> caráter estratégico</w:t>
      </w:r>
      <w:r w:rsidR="0004399F">
        <w:t xml:space="preserve"> da realização própria de P&amp;D</w:t>
      </w:r>
      <w:r w:rsidR="0004399F" w:rsidRPr="00045ED3">
        <w:t xml:space="preserve">, </w:t>
      </w:r>
      <w:proofErr w:type="gramStart"/>
      <w:r w:rsidR="0004399F" w:rsidRPr="00045ED3">
        <w:t>referente aos potenciais gan</w:t>
      </w:r>
      <w:r w:rsidR="00C64E2A">
        <w:t xml:space="preserve">hos associados à introdução bem </w:t>
      </w:r>
      <w:r w:rsidR="0004399F" w:rsidRPr="00045ED3">
        <w:t>sucedida de uma inovação no mercado</w:t>
      </w:r>
      <w:proofErr w:type="gramEnd"/>
      <w:r w:rsidR="0004399F" w:rsidRPr="00045ED3">
        <w:t>.</w:t>
      </w:r>
      <w:r w:rsidR="004F0D7A">
        <w:t xml:space="preserve"> De fato, embora tenha</w:t>
      </w:r>
      <w:r w:rsidR="0004399F">
        <w:t xml:space="preserve"> ocorrido </w:t>
      </w:r>
      <w:r w:rsidR="001621D5">
        <w:t xml:space="preserve">uma redução </w:t>
      </w:r>
      <w:r w:rsidR="004F0D7A">
        <w:t xml:space="preserve">de 8,5 pontos percentuais na proporção de empresas industriais do Rio Grande do Sul que consideraram importante a realização de P&amp;D interno para </w:t>
      </w:r>
      <w:proofErr w:type="gramStart"/>
      <w:r w:rsidR="004F0D7A">
        <w:t>a inovar</w:t>
      </w:r>
      <w:proofErr w:type="gramEnd"/>
      <w:r w:rsidR="004F0D7A">
        <w:t xml:space="preserve">, </w:t>
      </w:r>
      <w:r w:rsidR="00221096">
        <w:t xml:space="preserve">do triênio 2003-2005 para o 2006-2008, </w:t>
      </w:r>
      <w:r w:rsidR="004F0D7A">
        <w:t xml:space="preserve">esta fração cresce desde então, </w:t>
      </w:r>
      <w:r w:rsidR="00AD6DD5">
        <w:t>atingindo o ápice de 21,1% em 2012-2014</w:t>
      </w:r>
      <w:r w:rsidR="0061088F">
        <w:t xml:space="preserve"> (Tabela 2</w:t>
      </w:r>
      <w:r w:rsidR="00B651E2">
        <w:t>)</w:t>
      </w:r>
      <w:r w:rsidR="00AD6DD5">
        <w:t>.</w:t>
      </w:r>
      <w:r w:rsidR="004F0D7A">
        <w:t xml:space="preserve"> </w:t>
      </w:r>
      <w:r w:rsidR="00AD6DD5">
        <w:t>Convém no</w:t>
      </w:r>
      <w:r w:rsidR="00AA5F69">
        <w:t xml:space="preserve">tar que </w:t>
      </w:r>
      <w:r w:rsidR="00AA5F69" w:rsidRPr="00A1049D">
        <w:t>em termos absolutos</w:t>
      </w:r>
      <w:r w:rsidR="00587CAB" w:rsidRPr="00A1049D">
        <w:rPr>
          <w:rStyle w:val="Refdenotaderodap"/>
        </w:rPr>
        <w:footnoteReference w:id="10"/>
      </w:r>
      <w:r w:rsidR="00AA5F69" w:rsidRPr="00A1049D">
        <w:t xml:space="preserve">, </w:t>
      </w:r>
      <w:r w:rsidR="00AD6DD5" w:rsidRPr="00A1049D">
        <w:t xml:space="preserve">a elevação foi de </w:t>
      </w:r>
      <w:r w:rsidR="00855B86" w:rsidRPr="00A1049D">
        <w:t xml:space="preserve">54,1%, de 635 empresas em 2003-2005 para 979 em </w:t>
      </w:r>
      <w:r w:rsidR="00855B86" w:rsidRPr="00A1049D">
        <w:lastRenderedPageBreak/>
        <w:t>2012-2014</w:t>
      </w:r>
      <w:r w:rsidR="00823888" w:rsidRPr="00A1049D">
        <w:t xml:space="preserve">, </w:t>
      </w:r>
      <w:r w:rsidR="007B4EB3" w:rsidRPr="00A1049D">
        <w:t>portanto</w:t>
      </w:r>
      <w:r w:rsidR="007B4EB3">
        <w:t xml:space="preserve">, </w:t>
      </w:r>
      <w:r w:rsidR="00823888">
        <w:t>acima da taxa de crescimento das empresas que inovaram nesses triênios (43,8%)</w:t>
      </w:r>
      <w:r w:rsidR="00855B86">
        <w:t>. Similarmente, a fração de empresas que considerou relevante a aquisição de P&amp;D externo para inovar, que possui caráter complementar ao realizado interna</w:t>
      </w:r>
      <w:r w:rsidR="00AA5F69">
        <w:t>mente, também oscilou entre 2005 e 2014</w:t>
      </w:r>
      <w:r w:rsidR="00855B86">
        <w:t>,</w:t>
      </w:r>
      <w:r w:rsidR="00BA6CE6">
        <w:t xml:space="preserve"> porém</w:t>
      </w:r>
      <w:r w:rsidR="00AA5F69">
        <w:t>, apresentando participação de 6,5% em 2012-2014 contra 5,3% em 2003-2005, com</w:t>
      </w:r>
      <w:r w:rsidR="00855B86">
        <w:t xml:space="preserve"> ponto</w:t>
      </w:r>
      <w:r w:rsidR="00AA5F69">
        <w:t xml:space="preserve"> de máximo de 8,2% em 2006-2008. Quanto ao número absoluto, </w:t>
      </w:r>
      <w:r w:rsidR="00B651E2">
        <w:t xml:space="preserve">em 2003-2005 172 empresas consideraram importante a aquisição de P&amp;D externo contra 299 em 2012-2014, com </w:t>
      </w:r>
      <w:r w:rsidR="00AA5F69">
        <w:t xml:space="preserve">taxa de crescimento de </w:t>
      </w:r>
      <w:r w:rsidR="00687399">
        <w:t>74,1%.</w:t>
      </w:r>
    </w:p>
    <w:p w14:paraId="36A733B6" w14:textId="77777777" w:rsidR="00B75840" w:rsidRPr="00B0726A" w:rsidRDefault="00B75840" w:rsidP="00111B87">
      <w:pPr>
        <w:spacing w:line="240" w:lineRule="auto"/>
        <w:ind w:firstLine="0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7"/>
        <w:gridCol w:w="657"/>
        <w:gridCol w:w="652"/>
        <w:gridCol w:w="652"/>
        <w:gridCol w:w="659"/>
        <w:gridCol w:w="657"/>
        <w:gridCol w:w="652"/>
        <w:gridCol w:w="652"/>
        <w:gridCol w:w="653"/>
      </w:tblGrid>
      <w:tr w:rsidR="0004399F" w:rsidRPr="004641C1" w14:paraId="1C1C7B1A" w14:textId="77777777" w:rsidTr="006D07D4">
        <w:trPr>
          <w:trHeight w:val="77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F00BF" w14:textId="20867A59" w:rsidR="0004399F" w:rsidRPr="004641C1" w:rsidRDefault="00505F5C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Tabela 2</w:t>
            </w:r>
            <w:r w:rsidR="0004399F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 Grau de importância alta e mé</w:t>
            </w:r>
            <w:r w:rsidR="00E256AC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dia </w:t>
            </w:r>
            <w:r w:rsidR="0004399F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das ati</w:t>
            </w:r>
            <w:r w:rsidR="00273636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vidades </w:t>
            </w:r>
            <w:proofErr w:type="spellStart"/>
            <w:r w:rsidR="00273636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inova</w:t>
            </w:r>
            <w:r w:rsidR="009938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tivas</w:t>
            </w:r>
            <w:proofErr w:type="spellEnd"/>
            <w:r w:rsidR="009938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realizadas para a inovação </w:t>
            </w:r>
            <w:r w:rsidR="009938A7" w:rsidRPr="00CB5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green"/>
              </w:rPr>
              <w:t>das</w:t>
            </w:r>
            <w:r w:rsidR="0004399F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empresas industriais que inovaram no Rio Grande do Sul e no Brasil</w:t>
            </w:r>
            <w:r w:rsidR="000529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 por triênio</w:t>
            </w:r>
            <w:r w:rsidR="0004399F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 2003-2014 (%</w:t>
            </w:r>
            <w:proofErr w:type="gramStart"/>
            <w:r w:rsidR="0004399F" w:rsidRPr="007314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  <w:proofErr w:type="gramEnd"/>
          </w:p>
        </w:tc>
      </w:tr>
      <w:tr w:rsidR="0004399F" w:rsidRPr="004641C1" w14:paraId="624EA546" w14:textId="77777777" w:rsidTr="006D07D4">
        <w:trPr>
          <w:trHeight w:val="67"/>
        </w:trPr>
        <w:tc>
          <w:tcPr>
            <w:tcW w:w="218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483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Atividades </w:t>
            </w:r>
            <w:proofErr w:type="spellStart"/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Inovativas</w:t>
            </w:r>
            <w:proofErr w:type="spellEnd"/>
          </w:p>
        </w:tc>
        <w:tc>
          <w:tcPr>
            <w:tcW w:w="141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5E4AE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Rio Grande do Sul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BECE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Brasil</w:t>
            </w:r>
          </w:p>
        </w:tc>
      </w:tr>
      <w:tr w:rsidR="0004399F" w:rsidRPr="004641C1" w14:paraId="7CC6338E" w14:textId="77777777" w:rsidTr="006D07D4">
        <w:trPr>
          <w:trHeight w:val="67"/>
        </w:trPr>
        <w:tc>
          <w:tcPr>
            <w:tcW w:w="218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505C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2C2C5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03-05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6E86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06-08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2297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C1AA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F6330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03-05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E667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06-08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FDF93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0E24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12-14</w:t>
            </w:r>
          </w:p>
        </w:tc>
      </w:tr>
      <w:tr w:rsidR="0004399F" w:rsidRPr="004641C1" w14:paraId="2F90ADDD" w14:textId="77777777" w:rsidTr="006D07D4">
        <w:trPr>
          <w:trHeight w:val="6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665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Atividades internas de P&amp;D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FB9D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798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8BA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E7D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4FD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8B9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92BD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6509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15,2</w:t>
            </w:r>
          </w:p>
        </w:tc>
      </w:tr>
      <w:tr w:rsidR="0004399F" w:rsidRPr="004641C1" w14:paraId="4765F8C8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579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Aquisição externa de P&amp;D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DA06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BD57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B668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ABD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7F06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E545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449B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E585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</w:t>
            </w:r>
          </w:p>
        </w:tc>
      </w:tr>
      <w:tr w:rsidR="0004399F" w:rsidRPr="004641C1" w14:paraId="34B6B737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5DA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Aquisição de outros conhecimentos externos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A3D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85F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B82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080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C61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513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B997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BED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14,8</w:t>
            </w:r>
          </w:p>
        </w:tc>
      </w:tr>
      <w:tr w:rsidR="0004399F" w:rsidRPr="004641C1" w14:paraId="4D34F82A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778B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Aquisição de software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0309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4D8E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1FE6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FD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F77A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C688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269F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8C16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31,7</w:t>
            </w:r>
          </w:p>
        </w:tc>
      </w:tr>
      <w:tr w:rsidR="0004399F" w:rsidRPr="004641C1" w14:paraId="5EFCCA4C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ABD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Aquisição de máquinas e equipamentos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238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429B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9FE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C45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721E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EBC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789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839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73,8</w:t>
            </w:r>
          </w:p>
        </w:tc>
      </w:tr>
      <w:tr w:rsidR="0004399F" w:rsidRPr="004641C1" w14:paraId="7627804A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AC6A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Treinamento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1A13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440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41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0B3E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F0F0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F7F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97A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BBF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61,7</w:t>
            </w:r>
          </w:p>
        </w:tc>
      </w:tr>
      <w:tr w:rsidR="0004399F" w:rsidRPr="004641C1" w14:paraId="3BBFD106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270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Introdução das inovações tecnológicas no mercado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C0C1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A5CD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5C59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8FD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68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DB05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3791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8CF7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30,8</w:t>
            </w:r>
          </w:p>
        </w:tc>
      </w:tr>
      <w:tr w:rsidR="0004399F" w:rsidRPr="004641C1" w14:paraId="2D856494" w14:textId="77777777" w:rsidTr="006D07D4">
        <w:trPr>
          <w:trHeight w:val="77"/>
        </w:trPr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F3B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Projeto industrial e outras preparações técnicas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38248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9FAE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DF77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6C2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21B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3184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777C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46A" w14:textId="77777777" w:rsidR="0004399F" w:rsidRPr="004641C1" w:rsidRDefault="0004399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30,9</w:t>
            </w:r>
          </w:p>
        </w:tc>
      </w:tr>
      <w:tr w:rsidR="0004399F" w:rsidRPr="004641C1" w14:paraId="7D7FE619" w14:textId="77777777" w:rsidTr="006D07D4">
        <w:trPr>
          <w:trHeight w:val="67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5528" w14:textId="77777777" w:rsidR="0004399F" w:rsidRPr="004641C1" w:rsidRDefault="0004399F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Fonte: IBGE (2007, 2010, 2013, 2016). Elaboração do autor.</w:t>
            </w:r>
          </w:p>
        </w:tc>
      </w:tr>
      <w:tr w:rsidR="0004399F" w:rsidRPr="004641C1" w14:paraId="7E0E2C43" w14:textId="77777777" w:rsidTr="006D07D4">
        <w:trPr>
          <w:trHeight w:val="7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B55FA" w14:textId="30949EDD" w:rsidR="0004399F" w:rsidRPr="004641C1" w:rsidRDefault="0004399F" w:rsidP="00111B87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4641C1">
              <w:rPr>
                <w:rFonts w:ascii="Arial" w:eastAsia="Times New Roman" w:hAnsi="Arial" w:cs="Arial"/>
                <w:sz w:val="16"/>
                <w:szCs w:val="16"/>
              </w:rPr>
              <w:t>Nota: Foram consideradas as empresas industr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iais que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implementaram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produto </w:t>
            </w:r>
            <w:r w:rsidR="00C35B68">
              <w:rPr>
                <w:rFonts w:ascii="Arial" w:eastAsia="Times New Roman" w:hAnsi="Arial" w:cs="Arial"/>
                <w:sz w:val="16"/>
                <w:szCs w:val="16"/>
              </w:rPr>
              <w:t>e/ou</w:t>
            </w:r>
            <w:r w:rsidRPr="004641C1">
              <w:rPr>
                <w:rFonts w:ascii="Arial" w:eastAsia="Times New Roman" w:hAnsi="Arial" w:cs="Arial"/>
                <w:sz w:val="16"/>
                <w:szCs w:val="16"/>
              </w:rPr>
              <w:t xml:space="preserve"> processo tecnologicamente novo ou substancialmente aprimorado</w:t>
            </w:r>
            <w:r w:rsidR="006D07D4">
              <w:rPr>
                <w:rFonts w:ascii="Arial" w:eastAsia="Times New Roman" w:hAnsi="Arial" w:cs="Arial"/>
                <w:sz w:val="16"/>
                <w:szCs w:val="16"/>
              </w:rPr>
              <w:t>. As proporções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53142">
              <w:rPr>
                <w:rFonts w:ascii="Arial" w:eastAsia="Times New Roman" w:hAnsi="Arial" w:cs="Arial"/>
                <w:sz w:val="16"/>
                <w:szCs w:val="16"/>
              </w:rPr>
              <w:t>referem-se às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empresas que atribuíram grau de relevância alto ou médio para a realização de cada atividade de inovação</w:t>
            </w:r>
            <w:r w:rsidR="00B53142">
              <w:rPr>
                <w:rFonts w:ascii="Arial" w:eastAsia="Times New Roman" w:hAnsi="Arial" w:cs="Arial"/>
                <w:sz w:val="16"/>
                <w:szCs w:val="16"/>
              </w:rPr>
              <w:t xml:space="preserve"> sobre o total das que inovaram nos triênios considerados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</w:tc>
      </w:tr>
    </w:tbl>
    <w:p w14:paraId="23254C10" w14:textId="77777777" w:rsidR="00796568" w:rsidRPr="00B0726A" w:rsidRDefault="00796568" w:rsidP="00111B87">
      <w:pPr>
        <w:spacing w:line="240" w:lineRule="auto"/>
        <w:ind w:firstLine="0"/>
        <w:rPr>
          <w:sz w:val="16"/>
          <w:szCs w:val="16"/>
        </w:rPr>
      </w:pPr>
    </w:p>
    <w:p w14:paraId="4748C549" w14:textId="2A510770" w:rsidR="00B75840" w:rsidRDefault="00B75840" w:rsidP="00B75840">
      <w:r>
        <w:t>Na média da indústria brasileira, o processo de aumento da atribuição de importância das atividades internas de P&amp;D e da aquisição externa de P&amp;D para a inovação não se verificou com a mesma intensidade (Tabela 2). Em relação às empresas que consideraram relevante a execução de P&amp;D interno, sua fração se reduz de 19,9% em 2003-2005 para 15,2% em 2012-2014. O número de empresas que considerou importante o P&amp;D interno passou de 6.051 em 2003-2005 para 6.524 em 2012-2014, com crescimento de 7,8%, inferior ao do total que inovou (41,5%). Na fração de empresas que consideraram relevante a aquisição de P&amp;D externo para a inovação, a elevação foi pequena, passando de 5,0% em 2003-2005 para 5,4% em 2012-2014. Em números absolutos, a variação foi de 53,6%, de 1.507 firmas industriais brasileiras em 2003-2005 para 2.316 em 2012-2014.</w:t>
      </w:r>
    </w:p>
    <w:p w14:paraId="16DC0C8D" w14:textId="5A2196A6" w:rsidR="00424332" w:rsidRDefault="00010B65" w:rsidP="00010B65">
      <w:r>
        <w:t>Os</w:t>
      </w:r>
      <w:r w:rsidR="00880EE3">
        <w:t xml:space="preserve"> aumento</w:t>
      </w:r>
      <w:r>
        <w:t>s</w:t>
      </w:r>
      <w:r w:rsidR="00880EE3">
        <w:t xml:space="preserve"> observado</w:t>
      </w:r>
      <w:r>
        <w:t>s</w:t>
      </w:r>
      <w:r w:rsidR="00880EE3">
        <w:t xml:space="preserve"> na atribuição de importância</w:t>
      </w:r>
      <w:r w:rsidR="002E356D">
        <w:t xml:space="preserve"> à realização de atividades internas de P&amp;D e de aquisição de P&amp;D externa para a inovação</w:t>
      </w:r>
      <w:r w:rsidR="00880EE3">
        <w:t>, dada pelas empresas industriais do Rio Grande do Sul e do Brasil, consiste</w:t>
      </w:r>
      <w:r w:rsidR="00172DD3">
        <w:t>m</w:t>
      </w:r>
      <w:r w:rsidR="00880EE3">
        <w:t xml:space="preserve"> em um</w:t>
      </w:r>
      <w:r w:rsidR="00C246D7">
        <w:t>a</w:t>
      </w:r>
      <w:r w:rsidR="0066575C">
        <w:t xml:space="preserve"> melhora qualitativa, ainda que tênue</w:t>
      </w:r>
      <w:r w:rsidR="00880EE3">
        <w:t>. Em geral, as empresas industriais gaúchas e brasileiras ainda consideram a a</w:t>
      </w:r>
      <w:r w:rsidR="0066575C">
        <w:t>bsorção passiva de tecnologia, inco</w:t>
      </w:r>
      <w:r w:rsidR="009911D6">
        <w:t>r</w:t>
      </w:r>
      <w:r w:rsidR="0066575C">
        <w:t>porada</w:t>
      </w:r>
      <w:r w:rsidR="00880EE3">
        <w:t xml:space="preserve"> em bens de capital e em treinamento, </w:t>
      </w:r>
      <w:r w:rsidR="007923EF">
        <w:t xml:space="preserve">relativamente </w:t>
      </w:r>
      <w:r w:rsidR="00880EE3">
        <w:t xml:space="preserve">mais importantes para a </w:t>
      </w:r>
      <w:proofErr w:type="gramStart"/>
      <w:r w:rsidR="00880EE3">
        <w:t>impl</w:t>
      </w:r>
      <w:r w:rsidR="00C2353F">
        <w:t>ementação</w:t>
      </w:r>
      <w:proofErr w:type="gramEnd"/>
      <w:r w:rsidR="00C2353F">
        <w:t xml:space="preserve"> de inovações (Tabela 2</w:t>
      </w:r>
      <w:r w:rsidR="00880EE3">
        <w:t xml:space="preserve">). </w:t>
      </w:r>
    </w:p>
    <w:p w14:paraId="7E37295A" w14:textId="119554ED" w:rsidR="00880EE3" w:rsidRPr="00165615" w:rsidRDefault="009911D6" w:rsidP="00165615">
      <w:r>
        <w:t>Como discutido</w:t>
      </w:r>
      <w:r w:rsidR="00880EE3">
        <w:t xml:space="preserve">, os maiores ganhos qualitativos </w:t>
      </w:r>
      <w:r w:rsidR="007923EF">
        <w:t xml:space="preserve">e quantitativos </w:t>
      </w:r>
      <w:r w:rsidR="00880EE3">
        <w:t>ocorre</w:t>
      </w:r>
      <w:r w:rsidR="007923EF">
        <w:t xml:space="preserve">ram pelo </w:t>
      </w:r>
      <w:r w:rsidR="007923EF" w:rsidRPr="00165615">
        <w:t>aumento</w:t>
      </w:r>
      <w:r w:rsidR="00880EE3" w:rsidRPr="00165615">
        <w:t xml:space="preserve"> do orçamento alocado pelas empresas industriais nas atividades internas de P&amp;D. </w:t>
      </w:r>
      <w:r w:rsidR="00165615" w:rsidRPr="00165615">
        <w:t xml:space="preserve">Isto requer </w:t>
      </w:r>
      <w:r w:rsidR="00165615" w:rsidRPr="00165615">
        <w:lastRenderedPageBreak/>
        <w:t xml:space="preserve">a análise da evolução da composição dos dispêndios realizados em atividades </w:t>
      </w:r>
      <w:proofErr w:type="spellStart"/>
      <w:r w:rsidR="00165615" w:rsidRPr="00165615">
        <w:t>inovativas</w:t>
      </w:r>
      <w:proofErr w:type="spellEnd"/>
      <w:r w:rsidR="00165615" w:rsidRPr="00165615">
        <w:t xml:space="preserve"> na indústria do Rio Grande do Sul e do Brasil n</w:t>
      </w:r>
      <w:r w:rsidR="003C5F07">
        <w:t>o intervalo 2005-2014</w:t>
      </w:r>
      <w:r w:rsidR="00165615" w:rsidRPr="00165615">
        <w:t>.</w:t>
      </w:r>
    </w:p>
    <w:p w14:paraId="15E4EE3A" w14:textId="1839A1E3" w:rsidR="00201065" w:rsidRDefault="00535079" w:rsidP="00201065">
      <w:r w:rsidRPr="00165615">
        <w:t>De 2005</w:t>
      </w:r>
      <w:r w:rsidR="005539B3" w:rsidRPr="00165615">
        <w:t xml:space="preserve"> </w:t>
      </w:r>
      <w:r w:rsidRPr="00165615">
        <w:t>para 2014</w:t>
      </w:r>
      <w:r w:rsidR="005539B3" w:rsidRPr="00165615">
        <w:t>,</w:t>
      </w:r>
      <w:r w:rsidR="005539B3" w:rsidRPr="00E421FD">
        <w:t xml:space="preserve"> a</w:t>
      </w:r>
      <w:r w:rsidR="00C94122" w:rsidRPr="00E421FD">
        <w:t>lém do gasto em</w:t>
      </w:r>
      <w:r w:rsidR="00C94122" w:rsidRPr="00020D5F">
        <w:t xml:space="preserve"> P&amp;D interno</w:t>
      </w:r>
      <w:r w:rsidR="00F77772" w:rsidRPr="00020D5F">
        <w:t xml:space="preserve">, outros que </w:t>
      </w:r>
      <w:r w:rsidR="00900ADC" w:rsidRPr="00020D5F">
        <w:t xml:space="preserve">tiveram crescimento </w:t>
      </w:r>
      <w:r w:rsidR="00C63E01" w:rsidRPr="00020D5F">
        <w:t xml:space="preserve">na média das firmas industriais gaúchas foram </w:t>
      </w:r>
      <w:proofErr w:type="gramStart"/>
      <w:r w:rsidR="00C63E01" w:rsidRPr="00020D5F">
        <w:t>a</w:t>
      </w:r>
      <w:proofErr w:type="gramEnd"/>
      <w:r w:rsidR="00C63E01" w:rsidRPr="00020D5F">
        <w:t xml:space="preserve"> aquisição externa de P&amp;D (238,1%) e de software (235,7%), bem como de treinamento (6,8%)</w:t>
      </w:r>
      <w:r w:rsidR="00153850">
        <w:t>, essa última</w:t>
      </w:r>
      <w:r w:rsidR="004C7033" w:rsidRPr="00020D5F">
        <w:t xml:space="preserve"> com variações substanciais</w:t>
      </w:r>
      <w:r w:rsidR="00C63E01" w:rsidRPr="00020D5F">
        <w:t>.</w:t>
      </w:r>
      <w:r w:rsidR="00EA670F" w:rsidRPr="00020D5F">
        <w:t xml:space="preserve"> O investimento em compra de máquinas e equipamentos demonstrou oscilação, mas com tendência de declínio </w:t>
      </w:r>
      <w:r w:rsidR="00BA78B9" w:rsidRPr="00020D5F">
        <w:t>desde 2008, atingindo em 2014 o mesmo patamar de 2005.</w:t>
      </w:r>
      <w:r w:rsidR="00482A93" w:rsidRPr="00020D5F">
        <w:t xml:space="preserve"> </w:t>
      </w:r>
      <w:r w:rsidRPr="00020D5F">
        <w:t xml:space="preserve">As diminuições </w:t>
      </w:r>
      <w:r w:rsidR="002D6B33">
        <w:t xml:space="preserve">mais significativas </w:t>
      </w:r>
      <w:r w:rsidRPr="00020D5F">
        <w:t>ocorreram em aquisição de outros conhecimentos externos (</w:t>
      </w:r>
      <w:r w:rsidR="004C7033" w:rsidRPr="00020D5F">
        <w:t>-</w:t>
      </w:r>
      <w:r w:rsidR="00E36588">
        <w:t>60,6%), em introdução de</w:t>
      </w:r>
      <w:r w:rsidR="004C7033" w:rsidRPr="00020D5F">
        <w:t xml:space="preserve"> inovações tecnológicas no mercado (-16,1%) e em projeto industrial e outras</w:t>
      </w:r>
      <w:r w:rsidR="004C7033">
        <w:t xml:space="preserve"> preparações técnicas (-</w:t>
      </w:r>
      <w:r w:rsidR="005269CE">
        <w:t xml:space="preserve">56,7%). </w:t>
      </w:r>
      <w:r w:rsidR="008107BE">
        <w:t>Consequentemente,</w:t>
      </w:r>
      <w:r w:rsidR="00201065">
        <w:t xml:space="preserve"> houve uma mudança na estrutura dos gastos em atividades </w:t>
      </w:r>
      <w:proofErr w:type="spellStart"/>
      <w:r w:rsidR="00201065">
        <w:t>inovativas</w:t>
      </w:r>
      <w:proofErr w:type="spellEnd"/>
      <w:r w:rsidR="00201065">
        <w:t xml:space="preserve"> na indústria do Rio Grande do Sul no período</w:t>
      </w:r>
      <w:r w:rsidR="00470BD8">
        <w:t xml:space="preserve"> (Tabela 3</w:t>
      </w:r>
      <w:r w:rsidR="00362287">
        <w:t>)</w:t>
      </w:r>
      <w:r w:rsidR="00201065">
        <w:t>.</w:t>
      </w:r>
      <w:r w:rsidR="008107BE">
        <w:t xml:space="preserve"> </w:t>
      </w:r>
      <w:r w:rsidR="00201065">
        <w:t xml:space="preserve">Convém reparar que há nesse processo </w:t>
      </w:r>
      <w:r w:rsidR="00533E32">
        <w:t>um aparente ganho</w:t>
      </w:r>
      <w:r w:rsidR="00201065">
        <w:t xml:space="preserve"> qualitativo importante, que é</w:t>
      </w:r>
      <w:r w:rsidR="00533E32">
        <w:t xml:space="preserve"> uma</w:t>
      </w:r>
      <w:r w:rsidR="00201065">
        <w:t xml:space="preserve"> troca de compra de outros conhecimentos externos, entendidos como licenciamento de uso de marcas, patentes, transferências de tecnologia e outros, que é um aprendizado passivo, por aquisiç</w:t>
      </w:r>
      <w:r w:rsidR="00D96815">
        <w:t>ão de P&amp;D externo, que consiste</w:t>
      </w:r>
      <w:r w:rsidR="00201065">
        <w:t xml:space="preserve"> em conhecimentos e at</w:t>
      </w:r>
      <w:r w:rsidR="00D96815">
        <w:t>ividades complementares àquelas</w:t>
      </w:r>
      <w:r w:rsidR="00201065">
        <w:t xml:space="preserve"> desenvolvidas internamente pelas empresas.</w:t>
      </w:r>
    </w:p>
    <w:p w14:paraId="427D379D" w14:textId="77777777" w:rsidR="00A74DC1" w:rsidRPr="00B0726A" w:rsidRDefault="00A74DC1" w:rsidP="00111B87">
      <w:pPr>
        <w:spacing w:line="240" w:lineRule="auto"/>
        <w:ind w:firstLine="0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6"/>
        <w:gridCol w:w="680"/>
        <w:gridCol w:w="601"/>
        <w:gridCol w:w="680"/>
        <w:gridCol w:w="601"/>
        <w:gridCol w:w="680"/>
        <w:gridCol w:w="601"/>
        <w:gridCol w:w="680"/>
        <w:gridCol w:w="601"/>
        <w:gridCol w:w="731"/>
      </w:tblGrid>
      <w:tr w:rsidR="00DC44B4" w:rsidRPr="00DC44B4" w14:paraId="3E279654" w14:textId="77777777" w:rsidTr="00DC44B4">
        <w:trPr>
          <w:trHeight w:val="7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462C8B" w14:textId="0C270AA9" w:rsidR="00DC44B4" w:rsidRPr="00DC44B4" w:rsidRDefault="00D331E9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Tabela 3</w:t>
            </w:r>
            <w:r w:rsidR="00DC44B4" w:rsidRPr="00DC44B4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: Perfil dos dispêndios em atividades </w:t>
            </w:r>
            <w:proofErr w:type="spellStart"/>
            <w:r w:rsidR="00DC44B4" w:rsidRPr="00DC44B4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inovativas</w:t>
            </w:r>
            <w:proofErr w:type="spellEnd"/>
            <w:r w:rsidR="00DC44B4" w:rsidRPr="00DC44B4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</w:t>
            </w:r>
            <w:r w:rsidR="003B53E2" w:rsidRPr="003B53E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>das</w:t>
            </w:r>
            <w:r w:rsidR="00DC44B4" w:rsidRPr="00DC44B4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empresas industriais que inovaram do Rio Grande do Sul e do Brasil</w:t>
            </w:r>
            <w:r w:rsidR="00457319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: 2005-2014</w:t>
            </w:r>
          </w:p>
        </w:tc>
      </w:tr>
      <w:tr w:rsidR="00DC44B4" w:rsidRPr="00DC44B4" w14:paraId="2C745797" w14:textId="77777777" w:rsidTr="00DC44B4">
        <w:trPr>
          <w:trHeight w:val="67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EF97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Valores em R$ Milhões a preços de 2014</w:t>
            </w:r>
          </w:p>
        </w:tc>
      </w:tr>
      <w:tr w:rsidR="00DC44B4" w:rsidRPr="00DC44B4" w14:paraId="69DF9DEF" w14:textId="77777777" w:rsidTr="00DC44B4">
        <w:trPr>
          <w:trHeight w:val="67"/>
        </w:trPr>
        <w:tc>
          <w:tcPr>
            <w:tcW w:w="204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925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Rio Grande do Sul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E5962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8069B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2217B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35DD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FE3262" w14:textId="1480E1E8" w:rsidR="00DC44B4" w:rsidRPr="00DC44B4" w:rsidRDefault="002B128F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Var. </w:t>
            </w:r>
            <w:r w:rsid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05/</w:t>
            </w:r>
            <w:r w:rsidR="00DC44B4"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14 (%)</w:t>
            </w:r>
          </w:p>
        </w:tc>
      </w:tr>
      <w:tr w:rsidR="00DC44B4" w:rsidRPr="00DC44B4" w14:paraId="1A162BC7" w14:textId="77777777" w:rsidTr="00DC44B4">
        <w:trPr>
          <w:trHeight w:val="67"/>
        </w:trPr>
        <w:tc>
          <w:tcPr>
            <w:tcW w:w="204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CCD7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126FB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1A9D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6D20C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0E79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8F1F4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7BF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55685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Valor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E68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3F5E6D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</w:tr>
      <w:tr w:rsidR="00DC44B4" w:rsidRPr="00DC44B4" w14:paraId="1339C808" w14:textId="77777777" w:rsidTr="00DC44B4">
        <w:trPr>
          <w:trHeight w:val="6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344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4F8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3.161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654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E67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3.751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AB1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6F5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3.406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88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DEE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3.519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68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F93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11,3</w:t>
            </w:r>
          </w:p>
        </w:tc>
      </w:tr>
      <w:tr w:rsidR="00DC44B4" w:rsidRPr="00DC44B4" w14:paraId="656B6098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9547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-Atividades internas de P&amp;D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8B5F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580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FC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18,3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663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642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08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17,1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330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942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EE3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27,6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5B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1.067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85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30,3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466C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83,9</w:t>
            </w:r>
          </w:p>
        </w:tc>
      </w:tr>
      <w:tr w:rsidR="00DC44B4" w:rsidRPr="00DC44B4" w14:paraId="6E62798C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C5F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externa de P&amp;D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087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323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D4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B32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0,9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8E0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3E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006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149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CC2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F7D4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238,1</w:t>
            </w:r>
          </w:p>
        </w:tc>
      </w:tr>
      <w:tr w:rsidR="00DC44B4" w:rsidRPr="00DC44B4" w14:paraId="6CFC4AAE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186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de outros conhecimentos externos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C0A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114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A8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3,6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0E7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D66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175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EC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83C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C6A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E0E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-60,6</w:t>
            </w:r>
          </w:p>
        </w:tc>
      </w:tr>
      <w:tr w:rsidR="00DC44B4" w:rsidRPr="00DC44B4" w14:paraId="545F2946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EF1F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de software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01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028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EF8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F57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E35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58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07B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171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D1FF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74D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235,7</w:t>
            </w:r>
          </w:p>
        </w:tc>
      </w:tr>
      <w:tr w:rsidR="00DC44B4" w:rsidRPr="00DC44B4" w14:paraId="093FF063" w14:textId="77777777" w:rsidTr="003164AB">
        <w:trPr>
          <w:trHeight w:val="192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3406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de máquinas e equipamentos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C2F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1.663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01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52,6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DAB8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2.327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B5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62,0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712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1.803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A3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52,9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F3E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1.664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8F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47,3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9E3A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0,0</w:t>
            </w:r>
          </w:p>
        </w:tc>
      </w:tr>
      <w:tr w:rsidR="00DC44B4" w:rsidRPr="00DC44B4" w14:paraId="14383267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CD38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-Treinamento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39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6E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1,3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981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182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3E5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BC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C3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376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3034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6,8</w:t>
            </w:r>
          </w:p>
        </w:tc>
      </w:tr>
      <w:tr w:rsidR="00DC44B4" w:rsidRPr="00DC44B4" w14:paraId="163068EF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878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-Introdução das inovações tecnológicas no mercado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8F4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221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357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EEB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260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D072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7EA8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182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B352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5,4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4C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185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E4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5,3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9ED0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-16,1</w:t>
            </w:r>
          </w:p>
        </w:tc>
      </w:tr>
      <w:tr w:rsidR="00DC44B4" w:rsidRPr="00DC44B4" w14:paraId="682CA833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4FDC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-Projeto industrial e outras preparações técnicas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2818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447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41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14,1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52C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266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55A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7,1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2663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166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476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4,9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5A71F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194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C3F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5,5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1C844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-56,7</w:t>
            </w:r>
          </w:p>
        </w:tc>
      </w:tr>
      <w:tr w:rsidR="00DC44B4" w:rsidRPr="00DC44B4" w14:paraId="0B3DECA9" w14:textId="77777777" w:rsidTr="00DC44B4">
        <w:trPr>
          <w:trHeight w:val="67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A205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Brasil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D461A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1456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E642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29A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8D281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06C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B75BD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D0F1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C7C00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</w:p>
        </w:tc>
      </w:tr>
      <w:tr w:rsidR="00DC44B4" w:rsidRPr="00DC44B4" w14:paraId="555F384C" w14:textId="77777777" w:rsidTr="00DC44B4">
        <w:trPr>
          <w:trHeight w:val="77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F02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1B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56.496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34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02CD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60.397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698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784D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60.300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D90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683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57.638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E5E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100,0 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4894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2,0</w:t>
            </w:r>
          </w:p>
        </w:tc>
      </w:tr>
      <w:tr w:rsidR="00DC44B4" w:rsidRPr="00DC44B4" w14:paraId="63F75E8E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FFB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-Atividades internas de P&amp;D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57E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11.680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992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20,7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200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14.791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CA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24,5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04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17.958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53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29,8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9D7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18.172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28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31,5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720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55,6</w:t>
            </w:r>
          </w:p>
        </w:tc>
      </w:tr>
      <w:tr w:rsidR="00DC44B4" w:rsidRPr="00DC44B4" w14:paraId="4272CEB9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5D0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externa de P&amp;D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D97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1.570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57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FA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2.437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08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EF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2.680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F8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5D9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4.584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12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8,0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482D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192,0</w:t>
            </w:r>
          </w:p>
        </w:tc>
      </w:tr>
      <w:tr w:rsidR="00DC44B4" w:rsidRPr="00DC44B4" w14:paraId="3ACF82B7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A18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de outros conhecimentos externos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013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2.676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DC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0BAD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1.644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ACA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DCF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1.680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C9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F45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2.417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62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EE44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-9,7</w:t>
            </w:r>
          </w:p>
        </w:tc>
      </w:tr>
      <w:tr w:rsidR="00DC44B4" w:rsidRPr="00DC44B4" w14:paraId="1BC8C6BF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26B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de software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17D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1.104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C3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2,0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92E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1.554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9DF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4A4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1.540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3494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2,6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EBF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1.289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7F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327E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16,7</w:t>
            </w:r>
          </w:p>
        </w:tc>
      </w:tr>
      <w:tr w:rsidR="00DC44B4" w:rsidRPr="00DC44B4" w14:paraId="7B2762F2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EFE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-Aquisição de máquinas e equipamentos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533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27.333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C2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48,4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5E5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29.727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F21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49,2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0E3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28.282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8FD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46,9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86E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23.168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9328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40,2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1855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-15,2</w:t>
            </w:r>
          </w:p>
        </w:tc>
      </w:tr>
      <w:tr w:rsidR="00DC44B4" w:rsidRPr="00DC44B4" w14:paraId="0AC3C518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D7AC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-Treinamento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C1C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1.043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65B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7AA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1.292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ADA8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2,1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C31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706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ECC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1,2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50A3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592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F9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1,0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CE3E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-43,3</w:t>
            </w:r>
          </w:p>
        </w:tc>
      </w:tr>
      <w:tr w:rsidR="00DC44B4" w:rsidRPr="00DC44B4" w14:paraId="1E4A2FF4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CF69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-Introdução das inovações tecnológicas no mercado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0A2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3.829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740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6,8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F845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3.467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369F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5,7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D82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2.821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5D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4,7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66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3.315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9D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5,8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AF06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-13,4</w:t>
            </w:r>
          </w:p>
        </w:tc>
      </w:tr>
      <w:tr w:rsidR="00DC44B4" w:rsidRPr="00DC44B4" w14:paraId="426ABF68" w14:textId="77777777" w:rsidTr="00DC44B4">
        <w:trPr>
          <w:trHeight w:val="77"/>
        </w:trPr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7504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-Projeto industrial e outras preparações técnicas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D7F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7.262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23CE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12,9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F6016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5.485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C6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9,1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EB9A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4.634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278B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7,7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AECF7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4.102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A809" w14:textId="77777777" w:rsidR="00DC44B4" w:rsidRPr="00DC44B4" w:rsidRDefault="00DC44B4" w:rsidP="00111B87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7,1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80EC1" w14:textId="77777777" w:rsidR="00DC44B4" w:rsidRPr="00DC44B4" w:rsidRDefault="00DC44B4" w:rsidP="00111B87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-43,5</w:t>
            </w:r>
          </w:p>
        </w:tc>
      </w:tr>
      <w:tr w:rsidR="00DC44B4" w:rsidRPr="00DC44B4" w14:paraId="205ECB1D" w14:textId="77777777" w:rsidTr="00DC44B4">
        <w:trPr>
          <w:trHeight w:val="67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C297" w14:textId="77777777" w:rsidR="00DC44B4" w:rsidRPr="00DC44B4" w:rsidRDefault="00DC44B4" w:rsidP="00111B8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DC44B4" w:rsidRPr="00DC44B4" w14:paraId="53308550" w14:textId="77777777" w:rsidTr="00DC44B4">
        <w:trPr>
          <w:trHeight w:val="7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2CA1C" w14:textId="1A789267" w:rsidR="00DC44B4" w:rsidRPr="00DC44B4" w:rsidRDefault="00DC44B4" w:rsidP="005237B1">
            <w:pPr>
              <w:spacing w:line="240" w:lineRule="auto"/>
              <w:ind w:firstLine="0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DC44B4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Nota: Foram consideradas as empresas industr</w:t>
            </w:r>
            <w:r w:rsidR="00CD0F7A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iais que </w:t>
            </w:r>
            <w:proofErr w:type="gramStart"/>
            <w:r w:rsidR="00CD0F7A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implementaram</w:t>
            </w:r>
            <w:proofErr w:type="gramEnd"/>
            <w:r w:rsidR="00CD0F7A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produto e/ou</w:t>
            </w:r>
            <w:r w:rsidRPr="00DC44B4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processo tecnologicamente novo</w:t>
            </w:r>
            <w:r w:rsidR="005237B1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ou substancialmente aprimorado</w:t>
            </w:r>
            <w:r w:rsidRPr="00DC44B4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. Valores deflacionados para preços de 2014 pelo IGP-DI/FGV (IPEA, 2017).</w:t>
            </w:r>
          </w:p>
        </w:tc>
      </w:tr>
    </w:tbl>
    <w:p w14:paraId="7DB48CE9" w14:textId="77777777" w:rsidR="00FB4E77" w:rsidRPr="00B0726A" w:rsidRDefault="00FB4E77" w:rsidP="00111B87">
      <w:pPr>
        <w:spacing w:line="240" w:lineRule="auto"/>
        <w:ind w:firstLine="0"/>
        <w:rPr>
          <w:sz w:val="16"/>
          <w:szCs w:val="16"/>
          <w:highlight w:val="yellow"/>
        </w:rPr>
      </w:pPr>
    </w:p>
    <w:p w14:paraId="3D2AD0D1" w14:textId="5A356657" w:rsidR="00A31CB7" w:rsidRDefault="00A31CB7" w:rsidP="00A31CB7">
      <w:r>
        <w:t xml:space="preserve">No que concerne </w:t>
      </w:r>
      <w:proofErr w:type="gramStart"/>
      <w:r>
        <w:t>a</w:t>
      </w:r>
      <w:proofErr w:type="gramEnd"/>
      <w:r>
        <w:t xml:space="preserve"> média da indústria brasileira, o período em questão mostrou uma tendência similar na realização de dispêndios em atividades de inovação (Tabela 3). Especificamente, houve crescimento nas atividades internas de P&amp;D (55,6%) e na aquisição externa de P&amp;D (192,0%), ambas em caráter contínuo, e na aquisição de software, contudo, </w:t>
      </w:r>
      <w:r>
        <w:lastRenderedPageBreak/>
        <w:t xml:space="preserve">com variações. Nas demais variáveis verificou-se redução. Logo, a indústria nacional também passou por uma mudança estrutural no perfil de gastos das empresas em atividades </w:t>
      </w:r>
      <w:proofErr w:type="spellStart"/>
      <w:r>
        <w:t>inovativas</w:t>
      </w:r>
      <w:proofErr w:type="spellEnd"/>
      <w:r>
        <w:t>, com tendência semelhante à apresentada pelo Rio Grande do Sul, mas com menor intensidade. Importa observar que em termos relativos, no Estado o esforço em P&amp;D interno e P&amp;D externo, que somados atingiram 34,5% de participação em 2014, ainda encontrava-se em patamar inferior à média nacional (39,5%).</w:t>
      </w:r>
    </w:p>
    <w:p w14:paraId="659EDD23" w14:textId="45CE914C" w:rsidR="002D3106" w:rsidRDefault="00365067" w:rsidP="00E15315">
      <w:r>
        <w:t>No contexto desse processo</w:t>
      </w:r>
      <w:r w:rsidR="0021678A">
        <w:t xml:space="preserve"> de mudança no perfil dos investimentos em</w:t>
      </w:r>
      <w:r w:rsidR="00BB73B9">
        <w:t xml:space="preserve"> </w:t>
      </w:r>
      <w:r w:rsidR="00AF0608">
        <w:t xml:space="preserve">atividades de </w:t>
      </w:r>
      <w:r w:rsidR="00BB73B9">
        <w:t>inovação</w:t>
      </w:r>
      <w:r>
        <w:t>, r</w:t>
      </w:r>
      <w:r w:rsidR="000F0EA4">
        <w:t xml:space="preserve">eleva </w:t>
      </w:r>
      <w:r>
        <w:t xml:space="preserve">ainda </w:t>
      </w:r>
      <w:r w:rsidR="000F0EA4">
        <w:t>observar que, em geral para o Brasil, quas</w:t>
      </w:r>
      <w:r w:rsidR="00AF0608">
        <w:t>e a totalidade</w:t>
      </w:r>
      <w:r w:rsidR="000F0EA4">
        <w:t xml:space="preserve"> </w:t>
      </w:r>
      <w:r w:rsidR="00AF0608">
        <w:t xml:space="preserve">das </w:t>
      </w:r>
      <w:r w:rsidR="000F0EA4">
        <w:t xml:space="preserve">empresas industriais que inovaram </w:t>
      </w:r>
      <w:r w:rsidR="00AF0608">
        <w:t>fizeram gastos</w:t>
      </w:r>
      <w:r w:rsidR="000F0EA4">
        <w:t xml:space="preserve"> em caráter contínuo</w:t>
      </w:r>
      <w:r w:rsidR="000F0EA4">
        <w:rPr>
          <w:rStyle w:val="Refdenotaderodap"/>
        </w:rPr>
        <w:footnoteReference w:id="11"/>
      </w:r>
      <w:r w:rsidR="000F0EA4">
        <w:t xml:space="preserve">. </w:t>
      </w:r>
      <w:r w:rsidR="000F0EA4" w:rsidRPr="00D014B6">
        <w:t xml:space="preserve">No Rio Grande do Sul, a fração de gastos contínuos sobre o total investido em atividades </w:t>
      </w:r>
      <w:proofErr w:type="spellStart"/>
      <w:r w:rsidR="000F0EA4" w:rsidRPr="00D014B6">
        <w:t>inovativas</w:t>
      </w:r>
      <w:proofErr w:type="spellEnd"/>
      <w:r w:rsidR="000F0EA4" w:rsidRPr="00D014B6">
        <w:t xml:space="preserve"> variou entre 95,6% em 2005 (mínimo) e 97% em 2011 (máximo). Na média nacional, o mínimo foi de 93,8% em 2005 e </w:t>
      </w:r>
      <w:r w:rsidR="000F0EA4">
        <w:t xml:space="preserve">o máximo foi de </w:t>
      </w:r>
      <w:r w:rsidR="000F0EA4" w:rsidRPr="00D014B6">
        <w:t>97,8% em 2011.</w:t>
      </w:r>
      <w:r w:rsidR="000061D0">
        <w:t xml:space="preserve"> </w:t>
      </w:r>
      <w:r w:rsidR="000061D0" w:rsidRPr="00DF7CE7">
        <w:t xml:space="preserve">Assim, também por essa ótica houve uma melhora qualitativa no perfil dos gastos em atividades </w:t>
      </w:r>
      <w:proofErr w:type="spellStart"/>
      <w:r w:rsidR="000061D0" w:rsidRPr="00DF7CE7">
        <w:t>inovativas</w:t>
      </w:r>
      <w:proofErr w:type="spellEnd"/>
      <w:r w:rsidR="006836BF">
        <w:t xml:space="preserve"> no Estado e no País</w:t>
      </w:r>
      <w:r w:rsidR="000061D0" w:rsidRPr="00DF7CE7">
        <w:t>.</w:t>
      </w:r>
    </w:p>
    <w:p w14:paraId="14C1433B" w14:textId="77777777" w:rsidR="00EC1386" w:rsidRDefault="00861F2E" w:rsidP="00EC1386">
      <w:r w:rsidRPr="00DF7CE7">
        <w:t>Portanto</w:t>
      </w:r>
      <w:r w:rsidR="007D2D27" w:rsidRPr="00DF7CE7">
        <w:t xml:space="preserve">, </w:t>
      </w:r>
      <w:r w:rsidR="008869EC" w:rsidRPr="00DF7CE7">
        <w:t xml:space="preserve">tanto no Rio Grande do Sul quanto no Brasil, </w:t>
      </w:r>
      <w:r w:rsidR="001D47FE">
        <w:t>o que se observa</w:t>
      </w:r>
      <w:r w:rsidR="007D2D27" w:rsidRPr="00DF7CE7">
        <w:t xml:space="preserve"> no </w:t>
      </w:r>
      <w:r w:rsidR="003E0B48" w:rsidRPr="00DF7CE7">
        <w:t>período 2005-2014 é</w:t>
      </w:r>
      <w:r w:rsidR="00EA60A8">
        <w:t xml:space="preserve"> uma mudança no perfil</w:t>
      </w:r>
      <w:r w:rsidR="007D2D27">
        <w:t xml:space="preserve"> do esforço </w:t>
      </w:r>
      <w:r w:rsidR="00EA60A8">
        <w:t xml:space="preserve">tecnológico </w:t>
      </w:r>
      <w:r w:rsidR="007D2D27">
        <w:t>próprio na realizaçã</w:t>
      </w:r>
      <w:r w:rsidR="00E616D3">
        <w:t xml:space="preserve">o de </w:t>
      </w:r>
      <w:r w:rsidR="00EA60A8">
        <w:t xml:space="preserve">P&amp;D </w:t>
      </w:r>
      <w:r w:rsidR="000D7CC7">
        <w:t>e na aquisição de conhecimentos e/ou serviços tecnológicos complementares</w:t>
      </w:r>
      <w:r w:rsidR="007D2D27">
        <w:t xml:space="preserve">, </w:t>
      </w:r>
      <w:r w:rsidR="009561B0">
        <w:t xml:space="preserve">inclusive com continuidade, </w:t>
      </w:r>
      <w:r w:rsidR="007D2D27">
        <w:t>em detrimento da a</w:t>
      </w:r>
      <w:r w:rsidR="009C15BA">
        <w:t>bsorção passiva de tecnologia</w:t>
      </w:r>
      <w:r w:rsidR="00A15246">
        <w:t>.</w:t>
      </w:r>
      <w:r w:rsidR="007D2D27">
        <w:t xml:space="preserve"> </w:t>
      </w:r>
      <w:r w:rsidR="00343140" w:rsidRPr="00972B8B">
        <w:t>Recapitule-se que</w:t>
      </w:r>
      <w:r w:rsidR="00F82503" w:rsidRPr="00972B8B">
        <w:t xml:space="preserve"> a</w:t>
      </w:r>
      <w:r w:rsidR="002C46E8">
        <w:t xml:space="preserve"> realização interna de P&amp;D</w:t>
      </w:r>
      <w:r w:rsidR="002750FE" w:rsidRPr="00972B8B">
        <w:t xml:space="preserve"> </w:t>
      </w:r>
      <w:r w:rsidR="00FA5D62">
        <w:t xml:space="preserve">com continuidade </w:t>
      </w:r>
      <w:r w:rsidR="002750FE" w:rsidRPr="00972B8B">
        <w:t xml:space="preserve">possibilita maior </w:t>
      </w:r>
      <w:r w:rsidR="00A15246">
        <w:t>domínio d</w:t>
      </w:r>
      <w:r w:rsidR="00A15246" w:rsidRPr="00972B8B">
        <w:t>a curva de aprendiza</w:t>
      </w:r>
      <w:r w:rsidR="00A15246">
        <w:t>do em sua realização, elevando a</w:t>
      </w:r>
      <w:r w:rsidR="00A15246" w:rsidRPr="00972B8B">
        <w:t xml:space="preserve"> eficiência </w:t>
      </w:r>
      <w:r w:rsidR="00A15246">
        <w:t xml:space="preserve">da empresa </w:t>
      </w:r>
      <w:r w:rsidR="00A15246" w:rsidRPr="00972B8B">
        <w:t>na operação das rotina</w:t>
      </w:r>
      <w:r w:rsidR="00A15246">
        <w:t xml:space="preserve">s associadas </w:t>
      </w:r>
      <w:proofErr w:type="gramStart"/>
      <w:r w:rsidR="00A15246">
        <w:t>à</w:t>
      </w:r>
      <w:proofErr w:type="gramEnd"/>
      <w:r w:rsidR="00A15246">
        <w:t xml:space="preserve"> essas atividades, assim como amplia a </w:t>
      </w:r>
      <w:r w:rsidR="002750FE" w:rsidRPr="00972B8B">
        <w:t>absorção dos conhecimentos associad</w:t>
      </w:r>
      <w:r w:rsidR="00A15246">
        <w:t>os a uma determinada tecnologia</w:t>
      </w:r>
      <w:r w:rsidR="002750FE" w:rsidRPr="00972B8B">
        <w:t>.</w:t>
      </w:r>
      <w:r w:rsidR="00DB323F" w:rsidRPr="00972B8B">
        <w:t xml:space="preserve"> </w:t>
      </w:r>
      <w:r w:rsidR="00A15246">
        <w:t xml:space="preserve">Dessa forma, o período 2005-2014 apresentou </w:t>
      </w:r>
      <w:r w:rsidR="00E616D3" w:rsidRPr="00972B8B">
        <w:t xml:space="preserve">uma tendência de </w:t>
      </w:r>
      <w:r w:rsidR="00167098">
        <w:t>aumento</w:t>
      </w:r>
      <w:r w:rsidR="00357881">
        <w:t>, qualitativo e quantitativo,</w:t>
      </w:r>
      <w:r w:rsidR="009D7089" w:rsidRPr="00972B8B">
        <w:t xml:space="preserve"> das capacitações tecnológicas </w:t>
      </w:r>
      <w:r w:rsidR="00357881">
        <w:t xml:space="preserve">em recursos financeiros </w:t>
      </w:r>
      <w:r w:rsidR="009D7089" w:rsidRPr="00972B8B">
        <w:t>na indústria do Rio Grande do Sul e do Brasil</w:t>
      </w:r>
      <w:r w:rsidR="00357881">
        <w:t>,</w:t>
      </w:r>
      <w:r w:rsidR="00DB323F" w:rsidRPr="00972B8B">
        <w:t xml:space="preserve"> de um modo geral</w:t>
      </w:r>
      <w:r w:rsidR="009D7089" w:rsidRPr="00972B8B">
        <w:t xml:space="preserve">, </w:t>
      </w:r>
      <w:r w:rsidR="00BA051F">
        <w:t xml:space="preserve">sendo </w:t>
      </w:r>
      <w:r w:rsidR="00DA591C">
        <w:t xml:space="preserve">relativamente </w:t>
      </w:r>
      <w:r w:rsidR="00BA051F">
        <w:t>mais intensa no Estado.</w:t>
      </w:r>
      <w:r w:rsidR="00DB323F" w:rsidRPr="00972B8B">
        <w:t xml:space="preserve"> </w:t>
      </w:r>
      <w:r w:rsidR="00BA051F">
        <w:t>Além disto,</w:t>
      </w:r>
      <w:r w:rsidR="008D3040" w:rsidRPr="00972B8B">
        <w:t xml:space="preserve"> </w:t>
      </w:r>
      <w:r w:rsidR="0015282C">
        <w:t>pode-se conjecturar que</w:t>
      </w:r>
      <w:r w:rsidR="00C57F9F">
        <w:t xml:space="preserve"> </w:t>
      </w:r>
      <w:r w:rsidR="00BA051F">
        <w:t>houve um</w:t>
      </w:r>
      <w:r w:rsidR="008D3040" w:rsidRPr="00972B8B">
        <w:t xml:space="preserve"> maior entendimento</w:t>
      </w:r>
      <w:r w:rsidR="00A15246" w:rsidRPr="00A15246">
        <w:t xml:space="preserve"> </w:t>
      </w:r>
      <w:r w:rsidR="00A15246" w:rsidRPr="00972B8B">
        <w:t>por parte das empresas industriais</w:t>
      </w:r>
      <w:r w:rsidR="0015282C">
        <w:t>, embora</w:t>
      </w:r>
      <w:r w:rsidR="00A15246">
        <w:t xml:space="preserve"> </w:t>
      </w:r>
      <w:r w:rsidR="0069238E">
        <w:t xml:space="preserve">tênue, </w:t>
      </w:r>
      <w:r w:rsidR="008D3040" w:rsidRPr="00972B8B">
        <w:t xml:space="preserve">sobre a necessidade de protagonizar o seu desenvolvimento tecnológico, devido ao </w:t>
      </w:r>
      <w:r w:rsidR="0015282C">
        <w:t xml:space="preserve">seu </w:t>
      </w:r>
      <w:r w:rsidR="008D3040" w:rsidRPr="00972B8B">
        <w:t xml:space="preserve">caráter estratégico à </w:t>
      </w:r>
      <w:r w:rsidR="0015282C">
        <w:t xml:space="preserve">sua </w:t>
      </w:r>
      <w:r w:rsidR="008D3040" w:rsidRPr="00972B8B">
        <w:t>capacidade competiti</w:t>
      </w:r>
      <w:r w:rsidR="0015282C">
        <w:t>va</w:t>
      </w:r>
      <w:r w:rsidR="008D3040" w:rsidRPr="00972B8B">
        <w:t>.</w:t>
      </w:r>
      <w:r w:rsidR="00357881">
        <w:t xml:space="preserve"> </w:t>
      </w:r>
      <w:r w:rsidR="00EE04B4">
        <w:t xml:space="preserve">Destaque-se que esses ganhos ocorreram mesmo com os momentos recentes de crise econômica em </w:t>
      </w:r>
      <w:r w:rsidR="006C73B1">
        <w:t>2009</w:t>
      </w:r>
      <w:r w:rsidR="00EE04B4">
        <w:t xml:space="preserve"> e </w:t>
      </w:r>
      <w:r w:rsidR="009E2440" w:rsidRPr="009E2440">
        <w:rPr>
          <w:highlight w:val="green"/>
        </w:rPr>
        <w:t>de desaceleração da indústria em</w:t>
      </w:r>
      <w:r w:rsidR="009E2440">
        <w:t xml:space="preserve"> </w:t>
      </w:r>
      <w:r w:rsidR="00EE04B4">
        <w:t>2013-2014.</w:t>
      </w:r>
    </w:p>
    <w:p w14:paraId="00C92CE9" w14:textId="553CEA13" w:rsidR="00E662A3" w:rsidRPr="00E6288D" w:rsidRDefault="00A01FB5" w:rsidP="00EC1386">
      <w:r>
        <w:t>Cabe repetir</w:t>
      </w:r>
      <w:r w:rsidR="00386C42">
        <w:t xml:space="preserve"> que mesmo se verificando</w:t>
      </w:r>
      <w:r w:rsidR="00CC5F94">
        <w:t xml:space="preserve"> esse progresso</w:t>
      </w:r>
      <w:r w:rsidR="00DC675E">
        <w:t xml:space="preserve">, ainda assim, o esforço </w:t>
      </w:r>
      <w:r w:rsidR="00386C42">
        <w:t xml:space="preserve">tecnológico </w:t>
      </w:r>
      <w:r w:rsidR="00E662A3">
        <w:t>total</w:t>
      </w:r>
      <w:r w:rsidR="00D6467C">
        <w:rPr>
          <w:rStyle w:val="Refdenotaderodap"/>
        </w:rPr>
        <w:footnoteReference w:id="12"/>
      </w:r>
      <w:r w:rsidR="00E662A3">
        <w:t xml:space="preserve"> </w:t>
      </w:r>
      <w:r w:rsidR="00386C42">
        <w:t>das empresas in</w:t>
      </w:r>
      <w:r w:rsidR="001C64F1">
        <w:t>dustriais do Rio Grande do Sul</w:t>
      </w:r>
      <w:r w:rsidR="006C4A59">
        <w:t xml:space="preserve"> encontra</w:t>
      </w:r>
      <w:r w:rsidR="00E11457">
        <w:t>va</w:t>
      </w:r>
      <w:r w:rsidR="006C4A59">
        <w:t>-se</w:t>
      </w:r>
      <w:r w:rsidR="00E11457">
        <w:t xml:space="preserve"> em 2014</w:t>
      </w:r>
      <w:r w:rsidR="006C4A59">
        <w:t xml:space="preserve"> </w:t>
      </w:r>
      <w:r w:rsidR="00225328">
        <w:t>em patamar</w:t>
      </w:r>
      <w:r w:rsidR="00CC5F94">
        <w:t xml:space="preserve"> inferior à média nacional. Soma-se</w:t>
      </w:r>
      <w:r w:rsidR="00225328">
        <w:t xml:space="preserve"> ainda, em geral, </w:t>
      </w:r>
      <w:r w:rsidR="007D1F98">
        <w:t xml:space="preserve">que </w:t>
      </w:r>
      <w:r w:rsidR="00225328">
        <w:t xml:space="preserve">os Estados industrializados do Brasil se colocaram em 2014 </w:t>
      </w:r>
      <w:r>
        <w:t>bem</w:t>
      </w:r>
      <w:r w:rsidR="006C4A59">
        <w:t xml:space="preserve"> abaixo do</w:t>
      </w:r>
      <w:r w:rsidR="00225328">
        <w:t xml:space="preserve"> </w:t>
      </w:r>
      <w:r w:rsidR="00283BAC">
        <w:t xml:space="preserve">patamar </w:t>
      </w:r>
      <w:r w:rsidR="00225328">
        <w:t>observado nos</w:t>
      </w:r>
      <w:r w:rsidR="00386C42">
        <w:t xml:space="preserve"> países </w:t>
      </w:r>
      <w:r w:rsidR="00386C42">
        <w:lastRenderedPageBreak/>
        <w:t>industrializados</w:t>
      </w:r>
      <w:r w:rsidR="00B07ED0">
        <w:t xml:space="preserve">, sobretudo </w:t>
      </w:r>
      <w:r w:rsidR="00225328">
        <w:t xml:space="preserve">quando </w:t>
      </w:r>
      <w:r w:rsidR="00B07ED0">
        <w:t>comparado</w:t>
      </w:r>
      <w:r w:rsidR="00225328">
        <w:t>s aos</w:t>
      </w:r>
      <w:r w:rsidR="00386C42">
        <w:t xml:space="preserve"> líderes no desenvolvimento de novas tecnologias.</w:t>
      </w:r>
      <w:r w:rsidR="00E662A3" w:rsidRPr="00E662A3">
        <w:t xml:space="preserve"> </w:t>
      </w:r>
      <w:r w:rsidR="00133DF0">
        <w:t>O</w:t>
      </w:r>
      <w:r w:rsidR="00E662A3">
        <w:t xml:space="preserve"> processo de intensificação do esforço industrial em P&amp;D, com algumas </w:t>
      </w:r>
      <w:r w:rsidR="00E662A3" w:rsidRPr="00B05700">
        <w:t>exce</w:t>
      </w:r>
      <w:r w:rsidR="00E662A3">
        <w:t>ções, também pode ser constatado n</w:t>
      </w:r>
      <w:r w:rsidR="00E662A3" w:rsidRPr="00B05700">
        <w:t xml:space="preserve">as nações que exercem liderança </w:t>
      </w:r>
      <w:r w:rsidR="00E662A3" w:rsidRPr="00E6288D">
        <w:t xml:space="preserve">tecnológica – inclusive em ritmo superior ao </w:t>
      </w:r>
      <w:r w:rsidR="006925E2">
        <w:t>brasileiro</w:t>
      </w:r>
      <w:r w:rsidR="00160BBF">
        <w:t xml:space="preserve"> (Gráfico </w:t>
      </w:r>
      <w:proofErr w:type="gramStart"/>
      <w:r w:rsidR="00160BBF">
        <w:t>2</w:t>
      </w:r>
      <w:proofErr w:type="gramEnd"/>
      <w:r w:rsidR="00E917D3">
        <w:t>)</w:t>
      </w:r>
      <w:r w:rsidR="006925E2">
        <w:t>.</w:t>
      </w:r>
      <w:r w:rsidR="00E662A3" w:rsidRPr="00E6288D">
        <w:t xml:space="preserve"> </w:t>
      </w:r>
    </w:p>
    <w:p w14:paraId="45862784" w14:textId="77777777" w:rsidR="00D30793" w:rsidRPr="00B0726A" w:rsidRDefault="00D30793" w:rsidP="00111B87">
      <w:pPr>
        <w:spacing w:line="240" w:lineRule="auto"/>
        <w:ind w:firstLine="0"/>
        <w:rPr>
          <w:sz w:val="16"/>
          <w:szCs w:val="16"/>
        </w:rPr>
      </w:pPr>
    </w:p>
    <w:p w14:paraId="0C8CB152" w14:textId="1AF18C22" w:rsidR="006E64AD" w:rsidRPr="00726F65" w:rsidRDefault="00160BBF" w:rsidP="00111B87">
      <w:pPr>
        <w:spacing w:line="240" w:lineRule="auto"/>
        <w:ind w:firstLine="0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Gráfico </w:t>
      </w:r>
      <w:proofErr w:type="gramStart"/>
      <w:r>
        <w:rPr>
          <w:rFonts w:ascii="Arial" w:hAnsi="Arial"/>
          <w:b/>
          <w:sz w:val="16"/>
          <w:szCs w:val="16"/>
        </w:rPr>
        <w:t>2</w:t>
      </w:r>
      <w:proofErr w:type="gramEnd"/>
      <w:r w:rsidR="00BE2F6A" w:rsidRPr="00726F65">
        <w:rPr>
          <w:rFonts w:ascii="Arial" w:hAnsi="Arial"/>
          <w:b/>
          <w:sz w:val="16"/>
          <w:szCs w:val="16"/>
        </w:rPr>
        <w:t xml:space="preserve">: Esforço tecnológico </w:t>
      </w:r>
      <w:r w:rsidR="00924AF7">
        <w:rPr>
          <w:rFonts w:ascii="Arial" w:hAnsi="Arial"/>
          <w:b/>
          <w:sz w:val="16"/>
          <w:szCs w:val="16"/>
        </w:rPr>
        <w:t xml:space="preserve">interno </w:t>
      </w:r>
      <w:r w:rsidR="002B7C69">
        <w:rPr>
          <w:rFonts w:ascii="Arial" w:hAnsi="Arial"/>
          <w:b/>
          <w:sz w:val="16"/>
          <w:szCs w:val="16"/>
        </w:rPr>
        <w:t xml:space="preserve">de empresas industriais </w:t>
      </w:r>
      <w:r w:rsidR="00726F65" w:rsidRPr="00726F65">
        <w:rPr>
          <w:rFonts w:ascii="Arial" w:hAnsi="Arial"/>
          <w:b/>
          <w:sz w:val="16"/>
          <w:szCs w:val="16"/>
        </w:rPr>
        <w:t xml:space="preserve">em relação ao PIB </w:t>
      </w:r>
      <w:r w:rsidR="00BE2F6A" w:rsidRPr="00726F65">
        <w:rPr>
          <w:rFonts w:ascii="Arial" w:hAnsi="Arial"/>
          <w:b/>
          <w:sz w:val="16"/>
          <w:szCs w:val="16"/>
        </w:rPr>
        <w:t xml:space="preserve">de estados brasileiros e </w:t>
      </w:r>
      <w:r w:rsidR="00726F65" w:rsidRPr="00726F65">
        <w:rPr>
          <w:rFonts w:ascii="Arial" w:hAnsi="Arial"/>
          <w:b/>
          <w:sz w:val="16"/>
          <w:szCs w:val="16"/>
        </w:rPr>
        <w:t xml:space="preserve">de </w:t>
      </w:r>
      <w:r w:rsidR="00BE2F6A" w:rsidRPr="00726F65">
        <w:rPr>
          <w:rFonts w:ascii="Arial" w:hAnsi="Arial"/>
          <w:b/>
          <w:sz w:val="16"/>
          <w:szCs w:val="16"/>
        </w:rPr>
        <w:t>países industrializados selecionados: 2011 e 2014</w:t>
      </w:r>
    </w:p>
    <w:p w14:paraId="1E3841E6" w14:textId="7EAD58A1" w:rsidR="00232101" w:rsidRDefault="00924AF7" w:rsidP="00111B87">
      <w:pPr>
        <w:spacing w:line="240" w:lineRule="auto"/>
        <w:ind w:firstLine="0"/>
      </w:pPr>
      <w:bookmarkStart w:id="0" w:name="_GoBack"/>
      <w:r>
        <w:rPr>
          <w:noProof/>
          <w:lang w:eastAsia="pt-BR"/>
        </w:rPr>
        <w:drawing>
          <wp:inline distT="0" distB="0" distL="0" distR="0" wp14:anchorId="5B2E17A4" wp14:editId="1A80170A">
            <wp:extent cx="5760000" cy="3024000"/>
            <wp:effectExtent l="0" t="0" r="12700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14:paraId="6F44D584" w14:textId="59B164D3" w:rsidR="00232101" w:rsidRPr="00E6288D" w:rsidRDefault="00A563FA" w:rsidP="00111B87">
      <w:pPr>
        <w:spacing w:line="240" w:lineRule="auto"/>
        <w:ind w:firstLine="0"/>
        <w:rPr>
          <w:rFonts w:ascii="Arial" w:hAnsi="Arial"/>
          <w:sz w:val="16"/>
          <w:szCs w:val="16"/>
        </w:rPr>
      </w:pPr>
      <w:r w:rsidRPr="00E6288D">
        <w:rPr>
          <w:rFonts w:ascii="Arial" w:hAnsi="Arial"/>
          <w:sz w:val="16"/>
          <w:szCs w:val="16"/>
        </w:rPr>
        <w:t xml:space="preserve">Fonte: </w:t>
      </w:r>
      <w:proofErr w:type="gramStart"/>
      <w:r w:rsidR="004023E6" w:rsidRPr="00E6288D">
        <w:rPr>
          <w:rFonts w:ascii="Arial" w:hAnsi="Arial"/>
          <w:sz w:val="16"/>
          <w:szCs w:val="16"/>
        </w:rPr>
        <w:t>IBGE(</w:t>
      </w:r>
      <w:proofErr w:type="gramEnd"/>
      <w:r w:rsidR="004023E6" w:rsidRPr="00E6288D">
        <w:rPr>
          <w:rFonts w:ascii="Arial" w:hAnsi="Arial"/>
          <w:sz w:val="16"/>
          <w:szCs w:val="16"/>
        </w:rPr>
        <w:t xml:space="preserve"> 2013 e 2016) e </w:t>
      </w:r>
      <w:r w:rsidR="00437076" w:rsidRPr="00E6288D">
        <w:rPr>
          <w:rFonts w:ascii="Arial" w:hAnsi="Arial"/>
          <w:sz w:val="16"/>
          <w:szCs w:val="16"/>
        </w:rPr>
        <w:t>OCDE (2017). Elaboração do autor.</w:t>
      </w:r>
    </w:p>
    <w:p w14:paraId="0148C93A" w14:textId="178263CD" w:rsidR="00F82503" w:rsidRPr="00924AF7" w:rsidRDefault="00437076" w:rsidP="00111B87">
      <w:pPr>
        <w:spacing w:line="240" w:lineRule="auto"/>
        <w:ind w:firstLine="0"/>
        <w:rPr>
          <w:rFonts w:ascii="Arial" w:hAnsi="Arial"/>
          <w:sz w:val="16"/>
          <w:szCs w:val="16"/>
        </w:rPr>
      </w:pPr>
      <w:r w:rsidRPr="00E6288D">
        <w:rPr>
          <w:rFonts w:ascii="Arial" w:hAnsi="Arial" w:cs="Arial"/>
          <w:sz w:val="16"/>
          <w:szCs w:val="16"/>
        </w:rPr>
        <w:t xml:space="preserve">Nota: </w:t>
      </w:r>
      <w:r w:rsidR="00E3725A" w:rsidRPr="00EF7FBA">
        <w:rPr>
          <w:rFonts w:ascii="Arial" w:eastAsia="Times New Roman" w:hAnsi="Arial" w:cs="Arial"/>
          <w:sz w:val="16"/>
          <w:szCs w:val="16"/>
        </w:rPr>
        <w:t xml:space="preserve">Foram </w:t>
      </w:r>
      <w:r w:rsidR="00E3725A" w:rsidRPr="00924AF7">
        <w:rPr>
          <w:rFonts w:ascii="Arial" w:eastAsia="Times New Roman" w:hAnsi="Arial" w:cs="Arial"/>
          <w:sz w:val="16"/>
          <w:szCs w:val="16"/>
        </w:rPr>
        <w:t xml:space="preserve">consideradas as empresas industriais que </w:t>
      </w:r>
      <w:proofErr w:type="gramStart"/>
      <w:r w:rsidR="00E3725A" w:rsidRPr="00924AF7">
        <w:rPr>
          <w:rFonts w:ascii="Arial" w:eastAsia="Times New Roman" w:hAnsi="Arial" w:cs="Arial"/>
          <w:sz w:val="16"/>
          <w:szCs w:val="16"/>
        </w:rPr>
        <w:t>implementaram</w:t>
      </w:r>
      <w:proofErr w:type="gramEnd"/>
      <w:r w:rsidR="00E3725A" w:rsidRPr="00924AF7">
        <w:rPr>
          <w:rFonts w:ascii="Arial" w:eastAsia="Times New Roman" w:hAnsi="Arial" w:cs="Arial"/>
          <w:sz w:val="16"/>
          <w:szCs w:val="16"/>
        </w:rPr>
        <w:t xml:space="preserve"> produto  e/ou  processo tecnologicamente novo ou substancialmente aprimorado, que desenvolveram projetos que foram abandonados ou ficaram incompletos, e que realizaram mudanças organizacionais. </w:t>
      </w:r>
      <w:r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>O “esforço tecnológico</w:t>
      </w:r>
      <w:r w:rsidR="00924AF7"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 interno</w:t>
      </w:r>
      <w:r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>” é cal</w:t>
      </w:r>
      <w:r w:rsidR="00924AF7"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culado como o quociente entre </w:t>
      </w:r>
      <w:r w:rsidR="0040304C"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>o dispêndio em</w:t>
      </w:r>
      <w:r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 xml:space="preserve"> P&amp;D interno </w:t>
      </w:r>
      <w:r w:rsidR="00924AF7"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>e o PIB</w:t>
      </w:r>
      <w:r w:rsidRPr="00924AF7">
        <w:rPr>
          <w:rFonts w:ascii="Arial" w:eastAsia="Times New Roman" w:hAnsi="Arial" w:cs="Arial"/>
          <w:color w:val="000000"/>
          <w:spacing w:val="-8"/>
          <w:sz w:val="16"/>
          <w:szCs w:val="16"/>
        </w:rPr>
        <w:t>.</w:t>
      </w:r>
    </w:p>
    <w:p w14:paraId="54DE27CE" w14:textId="77777777" w:rsidR="00A405C4" w:rsidRPr="00924AF7" w:rsidRDefault="00A405C4" w:rsidP="00111B87">
      <w:pPr>
        <w:spacing w:line="240" w:lineRule="auto"/>
        <w:ind w:firstLine="0"/>
        <w:rPr>
          <w:b/>
          <w:sz w:val="16"/>
          <w:szCs w:val="16"/>
          <w:u w:val="single"/>
        </w:rPr>
      </w:pPr>
    </w:p>
    <w:p w14:paraId="4B017E48" w14:textId="484B0A8E" w:rsidR="004B5220" w:rsidRDefault="00F53B6E" w:rsidP="00423790">
      <w:pPr>
        <w:ind w:firstLine="720"/>
      </w:pPr>
      <w:r w:rsidRPr="00924AF7">
        <w:t>Este compor</w:t>
      </w:r>
      <w:r w:rsidR="009A496A" w:rsidRPr="00924AF7">
        <w:t>tamento aponta para</w:t>
      </w:r>
      <w:r w:rsidR="009A496A">
        <w:t xml:space="preserve"> duas</w:t>
      </w:r>
      <w:r w:rsidRPr="00E6288D">
        <w:t xml:space="preserve"> tendências. A primeira é de avanço tecnológico</w:t>
      </w:r>
      <w:r>
        <w:t xml:space="preserve"> mais intenso na indústria de países como Coreia do Sul, Japão, Alemanha, China e Estados Unidos, aliado aos respectivos estímulos de p</w:t>
      </w:r>
      <w:r w:rsidR="009A496A">
        <w:t>olítica de ciência e tecnologia realizada</w:t>
      </w:r>
      <w:r w:rsidR="00BE1043">
        <w:t xml:space="preserve">s </w:t>
      </w:r>
      <w:proofErr w:type="gramStart"/>
      <w:r w:rsidR="00BE1043">
        <w:t>por</w:t>
      </w:r>
      <w:proofErr w:type="gramEnd"/>
      <w:r w:rsidR="00BE1043">
        <w:t xml:space="preserve"> </w:t>
      </w:r>
      <w:proofErr w:type="gramStart"/>
      <w:r w:rsidR="00BE1043">
        <w:t>seus</w:t>
      </w:r>
      <w:proofErr w:type="gramEnd"/>
      <w:r w:rsidR="00C46014">
        <w:t xml:space="preserve"> governos.</w:t>
      </w:r>
      <w:r>
        <w:t xml:space="preserve"> </w:t>
      </w:r>
      <w:r w:rsidR="009A496A">
        <w:t>Isto decorre do</w:t>
      </w:r>
      <w:r w:rsidR="006F2C0A">
        <w:t>s</w:t>
      </w:r>
      <w:r w:rsidR="00C00833">
        <w:t xml:space="preserve"> diagnóstico</w:t>
      </w:r>
      <w:r w:rsidR="006F2C0A">
        <w:t>s</w:t>
      </w:r>
      <w:r w:rsidR="00C00833">
        <w:t xml:space="preserve"> </w:t>
      </w:r>
      <w:r w:rsidR="009A496A">
        <w:t>empresariais e governamentais</w:t>
      </w:r>
      <w:r w:rsidR="00CA0EB8">
        <w:t xml:space="preserve"> </w:t>
      </w:r>
      <w:r w:rsidR="006F2C0A">
        <w:t>sobre a</w:t>
      </w:r>
      <w:r>
        <w:t xml:space="preserve"> necessidade </w:t>
      </w:r>
      <w:r w:rsidR="00AF67D0">
        <w:t xml:space="preserve">de </w:t>
      </w:r>
      <w:r w:rsidR="009A496A">
        <w:t>intensificar o esforço tecnológico</w:t>
      </w:r>
      <w:r w:rsidR="00DD6714">
        <w:t>.</w:t>
      </w:r>
      <w:r w:rsidR="00C00833">
        <w:t xml:space="preserve"> </w:t>
      </w:r>
      <w:r w:rsidR="00DD6714">
        <w:t>De um lado, trata-se de um</w:t>
      </w:r>
      <w:r w:rsidR="009A702D">
        <w:t>a tentativa de</w:t>
      </w:r>
      <w:r w:rsidR="00C00833">
        <w:t xml:space="preserve"> resposta </w:t>
      </w:r>
      <w:r w:rsidR="003446F2">
        <w:t xml:space="preserve">tecnológica para enfrentar </w:t>
      </w:r>
      <w:r w:rsidR="00DD6714">
        <w:t>a</w:t>
      </w:r>
      <w:r w:rsidR="003446F2">
        <w:t>s</w:t>
      </w:r>
      <w:r w:rsidR="00C00833">
        <w:t xml:space="preserve"> mudanças demográficas, alterações climáticas, estagnação da produtividade, baixo dinamismo ec</w:t>
      </w:r>
      <w:r w:rsidR="00E13A50">
        <w:t>onômico (excetuando-se a China)</w:t>
      </w:r>
      <w:r w:rsidR="00C00833">
        <w:t xml:space="preserve"> etc. que vêm incidindo sobre </w:t>
      </w:r>
      <w:r w:rsidR="00DD6714">
        <w:t>ess</w:t>
      </w:r>
      <w:r w:rsidR="00C00833">
        <w:t xml:space="preserve">as </w:t>
      </w:r>
      <w:r w:rsidR="003525A0">
        <w:t>nações. De</w:t>
      </w:r>
      <w:r w:rsidR="00DD6714">
        <w:t xml:space="preserve"> outro lado, entende-se que as inovações aceitas como soluções a esses problemas também se constituam em</w:t>
      </w:r>
      <w:r>
        <w:t xml:space="preserve"> novas oportunidades</w:t>
      </w:r>
      <w:r w:rsidR="00E47AFE">
        <w:t xml:space="preserve"> de lucros</w:t>
      </w:r>
      <w:r w:rsidR="009A496A">
        <w:t xml:space="preserve"> para as empresas</w:t>
      </w:r>
      <w:r w:rsidR="00C00833">
        <w:t xml:space="preserve">, sobretudo, pela </w:t>
      </w:r>
      <w:r w:rsidR="009A496A">
        <w:t xml:space="preserve">liderança </w:t>
      </w:r>
      <w:r w:rsidR="00C00833">
        <w:t>em sua introdução no mercado</w:t>
      </w:r>
      <w:r w:rsidR="00E47AFE">
        <w:t xml:space="preserve"> </w:t>
      </w:r>
      <w:r>
        <w:t xml:space="preserve">(OCDE, 2016). A segunda </w:t>
      </w:r>
      <w:r w:rsidR="00E47AFE">
        <w:t xml:space="preserve">tendência </w:t>
      </w:r>
      <w:r>
        <w:t>deriva da assimetria no esforço tecnológico entre</w:t>
      </w:r>
      <w:r w:rsidR="00E47AFE">
        <w:t xml:space="preserve"> </w:t>
      </w:r>
      <w:r w:rsidR="0052249E">
        <w:t xml:space="preserve">a indústria das </w:t>
      </w:r>
      <w:r w:rsidR="00E47AFE">
        <w:t>nações, que aponta para maior formação de capacitações tecno</w:t>
      </w:r>
      <w:r w:rsidR="00261C5F">
        <w:t>lógicas naquelas</w:t>
      </w:r>
      <w:r w:rsidR="00E47AFE">
        <w:t xml:space="preserve"> </w:t>
      </w:r>
      <w:r>
        <w:t>desenvolvidas e</w:t>
      </w:r>
      <w:r w:rsidR="00084BBA">
        <w:t xml:space="preserve"> em aumento da vantagem</w:t>
      </w:r>
      <w:r>
        <w:t xml:space="preserve"> </w:t>
      </w:r>
      <w:r w:rsidR="00261C5F">
        <w:t xml:space="preserve">em relação </w:t>
      </w:r>
      <w:r w:rsidR="0052249E">
        <w:t xml:space="preserve">ao setor em </w:t>
      </w:r>
      <w:r>
        <w:t>outros países em desenvolvimento</w:t>
      </w:r>
      <w:r w:rsidR="00261C5F">
        <w:t>, incluindo-se aí o Brasil</w:t>
      </w:r>
      <w:r>
        <w:t>.</w:t>
      </w:r>
    </w:p>
    <w:p w14:paraId="6A9FF503" w14:textId="77777777" w:rsidR="00F77849" w:rsidRDefault="00F77849" w:rsidP="00423790">
      <w:pPr>
        <w:ind w:firstLine="720"/>
      </w:pPr>
    </w:p>
    <w:p w14:paraId="15877532" w14:textId="77777777" w:rsidR="00F77849" w:rsidRPr="00423790" w:rsidRDefault="00F77849" w:rsidP="00423790">
      <w:pPr>
        <w:ind w:firstLine="720"/>
      </w:pPr>
    </w:p>
    <w:p w14:paraId="3F005ECE" w14:textId="559C1F33" w:rsidR="009E4B80" w:rsidRPr="00626FE7" w:rsidRDefault="009B1F66" w:rsidP="00840A4D">
      <w:pPr>
        <w:spacing w:before="200"/>
        <w:ind w:firstLine="0"/>
        <w:jc w:val="center"/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2</w:t>
      </w:r>
      <w:r w:rsidR="009E1437">
        <w:rPr>
          <w:b/>
          <w:u w:val="single"/>
        </w:rPr>
        <w:t>.2</w:t>
      </w:r>
      <w:r w:rsidR="008F2565">
        <w:rPr>
          <w:b/>
          <w:u w:val="single"/>
        </w:rPr>
        <w:t xml:space="preserve"> – </w:t>
      </w:r>
      <w:r w:rsidR="00663ADE">
        <w:rPr>
          <w:b/>
          <w:u w:val="single"/>
        </w:rPr>
        <w:t>Perfil</w:t>
      </w:r>
      <w:proofErr w:type="gramEnd"/>
      <w:r w:rsidR="00663ADE">
        <w:rPr>
          <w:b/>
          <w:u w:val="single"/>
        </w:rPr>
        <w:t xml:space="preserve"> dos recursos h</w:t>
      </w:r>
      <w:r w:rsidR="00626FE7" w:rsidRPr="00626FE7">
        <w:rPr>
          <w:b/>
          <w:u w:val="single"/>
        </w:rPr>
        <w:t>umanos alocados em atividades de P&amp;D</w:t>
      </w:r>
    </w:p>
    <w:p w14:paraId="461FF222" w14:textId="608DE159" w:rsidR="0072703A" w:rsidRDefault="00AA2ADC" w:rsidP="00CE5980">
      <w:r>
        <w:t>O</w:t>
      </w:r>
      <w:r w:rsidR="00567E0E">
        <w:t>s recursos humanos engajados em</w:t>
      </w:r>
      <w:r w:rsidR="004129EC">
        <w:t xml:space="preserve"> P&amp;D são o</w:t>
      </w:r>
      <w:r w:rsidR="00B61924">
        <w:t xml:space="preserve"> segundo</w:t>
      </w:r>
      <w:r>
        <w:t xml:space="preserve"> fator </w:t>
      </w:r>
      <w:r w:rsidR="004129EC">
        <w:t xml:space="preserve">a formar as capacitações tecnológicas das empresas. </w:t>
      </w:r>
      <w:r w:rsidR="00CD6C1C">
        <w:t>Como o conhecimento possui a p</w:t>
      </w:r>
      <w:r w:rsidR="00B34876">
        <w:t xml:space="preserve">ropriedade de ser cumulativo, </w:t>
      </w:r>
      <w:r w:rsidR="00A41EAF">
        <w:t xml:space="preserve">o domínio da empresa sobre a base disponível é um requisito para </w:t>
      </w:r>
      <w:r w:rsidR="00A56B51">
        <w:t xml:space="preserve">desenvolver novas tecnologias, bem como para </w:t>
      </w:r>
      <w:r w:rsidR="00A41EAF">
        <w:t>absor</w:t>
      </w:r>
      <w:r w:rsidR="00A56B51">
        <w:t xml:space="preserve">ver e fazer adaptações </w:t>
      </w:r>
      <w:r w:rsidR="00AD3FC5">
        <w:t>naquelas</w:t>
      </w:r>
      <w:r w:rsidR="00A41EAF">
        <w:t xml:space="preserve"> já disponíveis no mercado. Entretanto, os conhecimentos acumulados </w:t>
      </w:r>
      <w:r w:rsidR="001D7F85">
        <w:t>próximos à</w:t>
      </w:r>
      <w:r w:rsidR="00A41EAF">
        <w:t xml:space="preserve"> fron</w:t>
      </w:r>
      <w:r w:rsidR="00921713">
        <w:t>teira tecnológica da atividade são</w:t>
      </w:r>
      <w:r w:rsidR="00A41EAF">
        <w:t xml:space="preserve"> </w:t>
      </w:r>
      <w:r w:rsidR="00921713">
        <w:t>imprescindíveis</w:t>
      </w:r>
      <w:r w:rsidR="00CE5980">
        <w:t xml:space="preserve"> para obter a liderança </w:t>
      </w:r>
      <w:r w:rsidR="00A41EAF">
        <w:t>no desenvolvime</w:t>
      </w:r>
      <w:r w:rsidR="00CE5980">
        <w:t xml:space="preserve">nto e </w:t>
      </w:r>
      <w:r w:rsidR="00CF7FC4">
        <w:t xml:space="preserve">na </w:t>
      </w:r>
      <w:r w:rsidR="00CE5980">
        <w:t xml:space="preserve">introdução de inovações. </w:t>
      </w:r>
      <w:r w:rsidR="00DA7A3C">
        <w:t>Logo</w:t>
      </w:r>
      <w:r w:rsidR="00B34876">
        <w:t>, a qualificação dos profissionais alocados em P&amp;D, destacando-se os pesquisadores</w:t>
      </w:r>
      <w:r w:rsidR="00CE5980">
        <w:t xml:space="preserve"> pós-graduados</w:t>
      </w:r>
      <w:r w:rsidR="00604C63">
        <w:t>,</w:t>
      </w:r>
      <w:r w:rsidR="00B34876">
        <w:t xml:space="preserve"> </w:t>
      </w:r>
      <w:r w:rsidR="00C52639">
        <w:t>inclusive com dedicação exclusiva</w:t>
      </w:r>
      <w:r w:rsidR="003269DA">
        <w:t>,</w:t>
      </w:r>
      <w:r w:rsidR="00C52639">
        <w:t xml:space="preserve"> </w:t>
      </w:r>
      <w:r w:rsidR="00B34876">
        <w:t>é uma condição importante para a capac</w:t>
      </w:r>
      <w:r w:rsidR="00821D2D">
        <w:t>idade de desenvolver inovações.</w:t>
      </w:r>
    </w:p>
    <w:p w14:paraId="4F865ABF" w14:textId="16727BDC" w:rsidR="006963A0" w:rsidRPr="00207BD6" w:rsidRDefault="00B2212D" w:rsidP="00207BD6">
      <w:r w:rsidRPr="00F97ED1">
        <w:t>Quanto ao</w:t>
      </w:r>
      <w:r w:rsidR="0072703A" w:rsidRPr="00F97ED1">
        <w:t xml:space="preserve"> total dos recursos humanos exercendo atividades de P&amp;D</w:t>
      </w:r>
      <w:r w:rsidR="00156C90" w:rsidRPr="00F97ED1">
        <w:rPr>
          <w:rStyle w:val="Refdenotaderodap"/>
        </w:rPr>
        <w:footnoteReference w:id="13"/>
      </w:r>
      <w:r w:rsidR="0072703A" w:rsidRPr="00F97ED1">
        <w:t xml:space="preserve"> nas empresas industriais do Rio Grande do Sul</w:t>
      </w:r>
      <w:r w:rsidR="0072703A">
        <w:t xml:space="preserve"> que </w:t>
      </w:r>
      <w:proofErr w:type="gramStart"/>
      <w:r w:rsidR="0072703A">
        <w:t>implementaram</w:t>
      </w:r>
      <w:proofErr w:type="gramEnd"/>
      <w:r w:rsidR="0072703A">
        <w:t xml:space="preserve"> inovações, este contingente mostrou evolução positiva entre 2005 e 2014, </w:t>
      </w:r>
      <w:r w:rsidR="009B1F66">
        <w:t xml:space="preserve">de </w:t>
      </w:r>
      <w:r w:rsidR="00FB79A6">
        <w:t xml:space="preserve">3.844 para 11.891, </w:t>
      </w:r>
      <w:r w:rsidR="0072703A">
        <w:t xml:space="preserve">com crescimento de 209,3%. </w:t>
      </w:r>
      <w:r w:rsidR="00C32A39">
        <w:t>Entre aqueles com nível de pós-</w:t>
      </w:r>
      <w:r w:rsidR="003124B7">
        <w:t>graduação, a ampliação foi de 158,9% entre esses anos</w:t>
      </w:r>
      <w:r w:rsidR="00016499">
        <w:rPr>
          <w:rStyle w:val="Refdenotaderodap"/>
        </w:rPr>
        <w:footnoteReference w:id="14"/>
      </w:r>
      <w:r w:rsidR="00FB79A6">
        <w:t>, de 232 para 602</w:t>
      </w:r>
      <w:r w:rsidR="003124B7">
        <w:t xml:space="preserve">. </w:t>
      </w:r>
      <w:r w:rsidR="00CA41D8">
        <w:t xml:space="preserve">Em ambos os casos, </w:t>
      </w:r>
      <w:r w:rsidR="00C94B31">
        <w:t xml:space="preserve">entre os Estados industrializados, </w:t>
      </w:r>
      <w:r w:rsidR="00CA41D8">
        <w:t>a</w:t>
      </w:r>
      <w:r w:rsidR="00C94B31">
        <w:t>s</w:t>
      </w:r>
      <w:r w:rsidR="00CA41D8">
        <w:t xml:space="preserve"> taxa</w:t>
      </w:r>
      <w:r w:rsidR="00C94B31">
        <w:t>s</w:t>
      </w:r>
      <w:r w:rsidR="00CA41D8">
        <w:t xml:space="preserve"> de crescimento</w:t>
      </w:r>
      <w:r w:rsidR="00C94B31">
        <w:t xml:space="preserve"> apresentadas </w:t>
      </w:r>
      <w:r w:rsidR="00F3779D">
        <w:t>n</w:t>
      </w:r>
      <w:r w:rsidR="00C94B31">
        <w:t>esses anos foram inferi</w:t>
      </w:r>
      <w:r w:rsidR="00F3779D">
        <w:t>ores apenas àquelas exibidas</w:t>
      </w:r>
      <w:r w:rsidR="00C94B31">
        <w:t xml:space="preserve"> por Minas Gerais, com respectivamente 231,1% e 201,7%. </w:t>
      </w:r>
      <w:r w:rsidR="0072703A">
        <w:t>Na média da indústria nacional, a taxa de crescimento do pessoal ocupado em P&amp;D foi de 121%</w:t>
      </w:r>
      <w:r w:rsidR="00285E66">
        <w:t>, de 47.628 em 2005</w:t>
      </w:r>
      <w:r w:rsidR="00ED5EDB">
        <w:t xml:space="preserve"> </w:t>
      </w:r>
      <w:r w:rsidR="00285E66">
        <w:t>para 105.267 em 2014</w:t>
      </w:r>
      <w:r w:rsidR="003124B7">
        <w:t>, enquanto que o número absoluto daqueles com nível de pós-graduação se elevou em 79,4%</w:t>
      </w:r>
      <w:r w:rsidR="00ED5EDB">
        <w:t>, de 4.330 para 7.768</w:t>
      </w:r>
      <w:r w:rsidR="003124B7">
        <w:t xml:space="preserve">. </w:t>
      </w:r>
      <w:r w:rsidR="00D00529">
        <w:t>D</w:t>
      </w:r>
      <w:r w:rsidR="006B4189">
        <w:t>esta forma</w:t>
      </w:r>
      <w:r w:rsidR="009A38D6">
        <w:t>,</w:t>
      </w:r>
      <w:r w:rsidR="006B4189">
        <w:t xml:space="preserve"> </w:t>
      </w:r>
      <w:r w:rsidR="00D00529">
        <w:t xml:space="preserve">houve redução da proporção de pós-graduados em relação ao </w:t>
      </w:r>
      <w:r w:rsidR="00D00529" w:rsidRPr="004D7566">
        <w:t>total de empregados em P&amp;D</w:t>
      </w:r>
      <w:r w:rsidR="00305C5D" w:rsidRPr="004D7566">
        <w:t xml:space="preserve"> </w:t>
      </w:r>
      <w:r w:rsidR="00484918" w:rsidRPr="004D7566">
        <w:t>na indústria gaúcha</w:t>
      </w:r>
      <w:r w:rsidR="008202BF" w:rsidRPr="004D7566">
        <w:t xml:space="preserve"> e nos Estados mais industrializados</w:t>
      </w:r>
      <w:r w:rsidR="009760A2" w:rsidRPr="004D7566">
        <w:t xml:space="preserve"> </w:t>
      </w:r>
      <w:r w:rsidR="00A231AC">
        <w:t>(Tabela 4</w:t>
      </w:r>
      <w:r w:rsidR="00305C5D" w:rsidRPr="004D7566">
        <w:t>)</w:t>
      </w:r>
      <w:r w:rsidR="00D00529" w:rsidRPr="004D7566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50"/>
        <w:gridCol w:w="680"/>
        <w:gridCol w:w="667"/>
        <w:gridCol w:w="541"/>
        <w:gridCol w:w="680"/>
        <w:gridCol w:w="667"/>
        <w:gridCol w:w="541"/>
        <w:gridCol w:w="680"/>
        <w:gridCol w:w="667"/>
        <w:gridCol w:w="541"/>
        <w:gridCol w:w="759"/>
        <w:gridCol w:w="681"/>
        <w:gridCol w:w="527"/>
      </w:tblGrid>
      <w:tr w:rsidR="00016499" w:rsidRPr="003F3BC2" w14:paraId="5AC8D87B" w14:textId="77777777" w:rsidTr="00016499">
        <w:trPr>
          <w:trHeight w:val="77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A2637" w14:textId="7605F3EA" w:rsidR="00016499" w:rsidRPr="003F3BC2" w:rsidRDefault="00A231AC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Tabela 4</w:t>
            </w:r>
            <w:r w:rsidR="00016499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: Recursos humanos totais e pós-graduados alocados </w:t>
            </w:r>
            <w:r w:rsidR="00C0361F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em atividades internas de P&amp;D </w:t>
            </w:r>
            <w:r w:rsidR="00C0361F" w:rsidRPr="00C0361F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>das</w:t>
            </w:r>
            <w:r w:rsidR="00016499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empresas industriais do Brasil que </w:t>
            </w:r>
            <w:proofErr w:type="gramStart"/>
            <w:r w:rsidR="00016499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implementaram</w:t>
            </w:r>
            <w:proofErr w:type="gramEnd"/>
            <w:r w:rsidR="00016499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inovações: 2005-2014</w:t>
            </w:r>
          </w:p>
        </w:tc>
      </w:tr>
      <w:tr w:rsidR="00016499" w:rsidRPr="003F3BC2" w14:paraId="6DD87E42" w14:textId="77777777" w:rsidTr="00016499">
        <w:trPr>
          <w:trHeight w:val="67"/>
        </w:trPr>
        <w:tc>
          <w:tcPr>
            <w:tcW w:w="116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D1F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Unidade da Federação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5683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C049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9AD7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B13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</w:tr>
      <w:tr w:rsidR="00016499" w:rsidRPr="003F3BC2" w14:paraId="3B9D00D0" w14:textId="77777777" w:rsidTr="00016499">
        <w:trPr>
          <w:trHeight w:val="67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9952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B5A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2CF5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Pós-Graduados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4C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8D66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Pós-Graduados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FE4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D09F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Pós-Graduados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C5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22E9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Pós-Graduados</w:t>
            </w:r>
          </w:p>
        </w:tc>
      </w:tr>
      <w:tr w:rsidR="00016499" w:rsidRPr="003F3BC2" w14:paraId="7B12A464" w14:textId="77777777" w:rsidTr="00016499">
        <w:trPr>
          <w:trHeight w:val="67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4FFEF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B3B8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7A3B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FC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CBED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855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33C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EC4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C2B5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800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36B8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C04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C700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</w:tr>
      <w:tr w:rsidR="00016499" w:rsidRPr="003F3BC2" w14:paraId="27C86282" w14:textId="77777777" w:rsidTr="00016499">
        <w:trPr>
          <w:trHeight w:val="6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8718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Brasil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537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47.628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314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4.330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E9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9,1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557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48.096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8C1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4.398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50C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9,1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8459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71.351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461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5.733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A313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8,0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FE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105.267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C5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7.768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B04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7,4</w:t>
            </w:r>
          </w:p>
        </w:tc>
      </w:tr>
      <w:tr w:rsidR="00016499" w:rsidRPr="003F3BC2" w14:paraId="11C46AFC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4C4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-São Paulo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3E3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26.517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9E9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2.230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7C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8,4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081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24.433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079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1.980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AB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8,1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F0C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32.909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631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2.690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D1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8,2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72A7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50.104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557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3.846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DC04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7,7</w:t>
            </w:r>
          </w:p>
        </w:tc>
      </w:tr>
      <w:tr w:rsidR="00016499" w:rsidRPr="003F3BC2" w14:paraId="21CD4590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DD2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-Rio Grande do Sul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2494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3.844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997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232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D5B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E3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4.728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A193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309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3D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6,5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6FB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8.208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B80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318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3B7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3,9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0F6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11.891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BD5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602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65E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5,1</w:t>
            </w:r>
          </w:p>
        </w:tc>
      </w:tr>
      <w:tr w:rsidR="00016499" w:rsidRPr="003F3BC2" w14:paraId="2A0EF5D8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094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-Minas Gerais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019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2.820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A1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261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5CA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9,2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8FF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3.952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AE5C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488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3E9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12,4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815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7.942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F2C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605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64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7,6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866C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9.336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BDE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787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B9C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8,4</w:t>
            </w:r>
          </w:p>
        </w:tc>
      </w:tr>
      <w:tr w:rsidR="00016499" w:rsidRPr="003F3BC2" w14:paraId="2482F020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96D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-Santa Catarina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F8C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3.636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2E1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333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A729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9,2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86F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3.562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9EF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208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037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5,8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E30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5.128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29F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372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E38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7,3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3C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8.749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1B6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344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F1B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3,9</w:t>
            </w:r>
          </w:p>
        </w:tc>
      </w:tr>
      <w:tr w:rsidR="00016499" w:rsidRPr="003F3BC2" w14:paraId="4D901C75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6E5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-Paraná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3CA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2.573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3EE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213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8C4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8,3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173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2.839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A01B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173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0BF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81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4.718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4907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331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58D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7,0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6039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7.810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0BE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242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624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3,1</w:t>
            </w:r>
          </w:p>
        </w:tc>
      </w:tr>
      <w:tr w:rsidR="00016499" w:rsidRPr="003F3BC2" w14:paraId="6D4B7B6B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157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-Rio de Janeiro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927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3.742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D399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753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B6F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20,1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934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3.939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D0BA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934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504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23,7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07A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5.949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518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932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728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15,7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6D6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6.615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FA21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1.065 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04C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16,1</w:t>
            </w:r>
          </w:p>
        </w:tc>
      </w:tr>
      <w:tr w:rsidR="00016499" w:rsidRPr="003F3BC2" w14:paraId="1D8A1D25" w14:textId="77777777" w:rsidTr="00016499">
        <w:trPr>
          <w:trHeight w:val="77"/>
        </w:trPr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A2CC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-Outras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42762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4.496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781B7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308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C47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19E9E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4.644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EF088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306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8924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6,6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00DF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6.497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44EB6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484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8CBC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7,5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FF95D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10.762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E424C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883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22B75" w14:textId="77777777" w:rsidR="00016499" w:rsidRPr="003F3BC2" w:rsidRDefault="00016499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8,2</w:t>
            </w:r>
          </w:p>
        </w:tc>
      </w:tr>
      <w:tr w:rsidR="00016499" w:rsidRPr="003F3BC2" w14:paraId="72E6C824" w14:textId="77777777" w:rsidTr="00016499">
        <w:trPr>
          <w:trHeight w:val="6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CECF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016499" w:rsidRPr="003F3BC2" w14:paraId="7D3A8DEA" w14:textId="77777777" w:rsidTr="00016499">
        <w:trPr>
          <w:trHeight w:val="7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91154" w14:textId="77777777" w:rsidR="00016499" w:rsidRPr="003F3BC2" w:rsidRDefault="00016499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Nota: Foram consideradas as empresas das indústrias extrativas e de transformação que </w:t>
            </w:r>
            <w:proofErr w:type="gramStart"/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implementaram</w:t>
            </w:r>
            <w:proofErr w:type="gramEnd"/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produto e/ou processo tecnologicamente novo ou substancialmente aprimorado.</w:t>
            </w:r>
          </w:p>
        </w:tc>
      </w:tr>
    </w:tbl>
    <w:p w14:paraId="64D67495" w14:textId="77777777" w:rsidR="00CE5980" w:rsidRPr="003F3BC2" w:rsidRDefault="00CE5980" w:rsidP="003F3BC2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64E26458" w14:textId="424794A3" w:rsidR="002B6910" w:rsidRDefault="00FB1C75" w:rsidP="0040787D">
      <w:r w:rsidRPr="00236D0A">
        <w:t>Na comparação realizada entre os Estados mais industrializados</w:t>
      </w:r>
      <w:r w:rsidR="00E326B9">
        <w:t>, o Rio Grande do Sul apresentou</w:t>
      </w:r>
      <w:r w:rsidRPr="00236D0A">
        <w:t xml:space="preserve"> </w:t>
      </w:r>
      <w:r w:rsidR="004238D6" w:rsidRPr="00236D0A">
        <w:t>ao longo do período o segundo maior número de pe</w:t>
      </w:r>
      <w:r w:rsidR="00F273D8" w:rsidRPr="00236D0A">
        <w:t xml:space="preserve">ssoas ocupadas em atividades internas de </w:t>
      </w:r>
      <w:r w:rsidR="004238D6" w:rsidRPr="00236D0A">
        <w:t>P&amp;D</w:t>
      </w:r>
      <w:r w:rsidR="00F273D8" w:rsidRPr="00236D0A">
        <w:t xml:space="preserve"> na indústria</w:t>
      </w:r>
      <w:r w:rsidR="00A231AC">
        <w:t xml:space="preserve"> (Tabela 4</w:t>
      </w:r>
      <w:r w:rsidR="00066812" w:rsidRPr="00236D0A">
        <w:t>)</w:t>
      </w:r>
      <w:r w:rsidR="004238D6" w:rsidRPr="00236D0A">
        <w:t>.</w:t>
      </w:r>
      <w:r w:rsidR="00CA41D8" w:rsidRPr="00236D0A">
        <w:t xml:space="preserve"> </w:t>
      </w:r>
      <w:r w:rsidR="00CC7405" w:rsidRPr="00236D0A">
        <w:t>Inclusive, c</w:t>
      </w:r>
      <w:r w:rsidR="00E94329" w:rsidRPr="00236D0A">
        <w:t xml:space="preserve">omo mencionado, </w:t>
      </w:r>
      <w:r w:rsidR="00E326B9">
        <w:t>o crescimento exibido</w:t>
      </w:r>
      <w:r w:rsidR="00CC7405" w:rsidRPr="00236D0A">
        <w:t xml:space="preserve"> </w:t>
      </w:r>
      <w:r w:rsidR="00CC7405" w:rsidRPr="00236D0A">
        <w:lastRenderedPageBreak/>
        <w:t>pelo Estado esteve acima da média nacional</w:t>
      </w:r>
      <w:r w:rsidR="00CC7405">
        <w:t xml:space="preserve"> no intervalo 2005-2014. Assim, em 2005 a indústria gaúcha respondia por 8,1% dos empregados em atividades de P&amp;D no Brasil e elevou sua participação para 11,3% em 2014</w:t>
      </w:r>
      <w:r w:rsidR="00066812">
        <w:rPr>
          <w:rStyle w:val="Refdenotaderodap"/>
        </w:rPr>
        <w:footnoteReference w:id="15"/>
      </w:r>
      <w:r w:rsidR="00CC7405">
        <w:t xml:space="preserve">. </w:t>
      </w:r>
      <w:r w:rsidR="00FD63A4">
        <w:t>De mesma forma, a indústria gaúcha demonstrou dinamismo no contingente de recursos humanos em P&amp;D com nível de pós-graduação, com</w:t>
      </w:r>
      <w:r w:rsidR="000373A6">
        <w:t xml:space="preserve"> o segundo maior crescimento entre os Estados industrializados, elevando sua representatividade. Em</w:t>
      </w:r>
      <w:r w:rsidR="00FD63A4">
        <w:t xml:space="preserve"> 2</w:t>
      </w:r>
      <w:r w:rsidR="000373A6">
        <w:t>005</w:t>
      </w:r>
      <w:r w:rsidR="00A17A8A">
        <w:t>,</w:t>
      </w:r>
      <w:r w:rsidR="000373A6">
        <w:t xml:space="preserve"> a indústria gaúcha respondia por 5,4% do pessoal pós-graduado em P&amp;D na indústria brasileira, sendo que em 2014 sua participação foi de 7,7%, mas abaixo de São Paulo (49,5%), Rio de Janeiro (13,7%) e Minas</w:t>
      </w:r>
      <w:r w:rsidR="006405AC">
        <w:t xml:space="preserve"> Gerais (10,1%). </w:t>
      </w:r>
      <w:r w:rsidR="006405AC" w:rsidRPr="00CF6314">
        <w:t>Com base nesses desempenhos, entende-se que o g</w:t>
      </w:r>
      <w:r w:rsidR="00737363" w:rsidRPr="00CF6314">
        <w:t>anho de capacitações</w:t>
      </w:r>
      <w:r w:rsidR="00141333" w:rsidRPr="00CF6314">
        <w:t xml:space="preserve"> tecnológica</w:t>
      </w:r>
      <w:r w:rsidR="00737363" w:rsidRPr="00CF6314">
        <w:t>s</w:t>
      </w:r>
      <w:r w:rsidR="006405AC" w:rsidRPr="00CF6314">
        <w:t xml:space="preserve"> em recursos humanos para realização de atividades de P&amp;D</w:t>
      </w:r>
      <w:r w:rsidR="00E51D61" w:rsidRPr="00CF6314">
        <w:t xml:space="preserve"> tenha sido relativamente mais intenso </w:t>
      </w:r>
      <w:r w:rsidR="006405AC" w:rsidRPr="00CF6314">
        <w:t>nas empresas industriais do Estado</w:t>
      </w:r>
      <w:r w:rsidR="00C93295" w:rsidRPr="00CF6314">
        <w:t xml:space="preserve">, </w:t>
      </w:r>
      <w:r w:rsidR="00BC1FA8" w:rsidRPr="00CF6314">
        <w:t xml:space="preserve">frente </w:t>
      </w:r>
      <w:proofErr w:type="gramStart"/>
      <w:r w:rsidR="00BC1FA8" w:rsidRPr="00CF6314">
        <w:t>a</w:t>
      </w:r>
      <w:proofErr w:type="gramEnd"/>
      <w:r w:rsidR="00BC1FA8" w:rsidRPr="00CF6314">
        <w:t xml:space="preserve"> média</w:t>
      </w:r>
      <w:r w:rsidR="00141333" w:rsidRPr="00CF6314">
        <w:t xml:space="preserve"> </w:t>
      </w:r>
      <w:r w:rsidR="00141333" w:rsidRPr="0017104C">
        <w:t>nacional.</w:t>
      </w:r>
      <w:r w:rsidR="0017104C" w:rsidRPr="0017104C">
        <w:t xml:space="preserve"> </w:t>
      </w:r>
      <w:r w:rsidR="00996DE7" w:rsidRPr="0017104C">
        <w:t xml:space="preserve">Ainda assim, </w:t>
      </w:r>
      <w:r w:rsidR="00F97CBE" w:rsidRPr="0017104C">
        <w:t xml:space="preserve">convém atentar para o fato de que </w:t>
      </w:r>
      <w:r w:rsidR="00E36A83" w:rsidRPr="0017104C">
        <w:t xml:space="preserve">no Rio Grande do Sul </w:t>
      </w:r>
      <w:r w:rsidR="00417EBA">
        <w:t xml:space="preserve">em 2014, </w:t>
      </w:r>
      <w:r w:rsidR="00996DE7" w:rsidRPr="0017104C">
        <w:t xml:space="preserve">a fração </w:t>
      </w:r>
      <w:r w:rsidR="00E36A83" w:rsidRPr="0017104C">
        <w:t xml:space="preserve">do pessoal pós-graduado </w:t>
      </w:r>
      <w:r w:rsidR="00B62273" w:rsidRPr="0017104C">
        <w:t>em relação ao total dos ocupados em</w:t>
      </w:r>
      <w:r w:rsidR="00E36A83" w:rsidRPr="0017104C">
        <w:t xml:space="preserve"> P&amp;D na indústria (5,1%) ainda es</w:t>
      </w:r>
      <w:r w:rsidR="00FF571E" w:rsidRPr="0017104C">
        <w:t xml:space="preserve">tava </w:t>
      </w:r>
      <w:r w:rsidR="00E36A83" w:rsidRPr="0017104C">
        <w:t>abaixo da média nacional</w:t>
      </w:r>
      <w:r w:rsidR="006405AC" w:rsidRPr="0017104C">
        <w:t xml:space="preserve"> </w:t>
      </w:r>
      <w:r w:rsidR="00D33568" w:rsidRPr="0017104C">
        <w:t>(</w:t>
      </w:r>
      <w:r w:rsidR="00E659ED" w:rsidRPr="0017104C">
        <w:t>7,4%</w:t>
      </w:r>
      <w:r w:rsidR="00417EBA">
        <w:t>)</w:t>
      </w:r>
      <w:r w:rsidR="00E659ED" w:rsidRPr="0017104C">
        <w:t>.</w:t>
      </w:r>
    </w:p>
    <w:p w14:paraId="5FD3C334" w14:textId="0377849E" w:rsidR="00417EBA" w:rsidRDefault="00417EBA" w:rsidP="00B7388F">
      <w:r>
        <w:t xml:space="preserve">De maneira mais específica, para os anos de 2011 e de 2014, para os quais </w:t>
      </w:r>
      <w:r w:rsidR="00220756">
        <w:t xml:space="preserve">os dados permitem maior detalhamento, se verifica </w:t>
      </w:r>
      <w:r w:rsidR="00DC7391">
        <w:t xml:space="preserve">na indústria do Rio Grande do Sul que </w:t>
      </w:r>
      <w:proofErr w:type="gramStart"/>
      <w:r w:rsidR="00DC7391">
        <w:t>houve ganho</w:t>
      </w:r>
      <w:proofErr w:type="gramEnd"/>
      <w:r w:rsidR="00DC7391">
        <w:t xml:space="preserve"> de participação entre os pesquisadores alocados em P&amp;D com nível de pós-graduação</w:t>
      </w:r>
      <w:r w:rsidR="00C62E86">
        <w:t xml:space="preserve">, de 7% em 2011 para 9,3% em 2014, </w:t>
      </w:r>
      <w:r w:rsidR="00DC7391">
        <w:t xml:space="preserve">e </w:t>
      </w:r>
      <w:r w:rsidR="00220756">
        <w:t xml:space="preserve">com o </w:t>
      </w:r>
      <w:r w:rsidR="00DC7391">
        <w:t xml:space="preserve">de médio ou fundamental, </w:t>
      </w:r>
      <w:r w:rsidR="001D59DA">
        <w:t xml:space="preserve">respectivamente de 25,2% e 33,6%, </w:t>
      </w:r>
      <w:r w:rsidR="00DC7391">
        <w:t>em detrimento daqueles com g</w:t>
      </w:r>
      <w:r w:rsidR="00472196">
        <w:t>raduação</w:t>
      </w:r>
      <w:r w:rsidR="001D59DA">
        <w:t xml:space="preserve"> (de 67,8% para 57,1%)</w:t>
      </w:r>
      <w:r w:rsidR="00472196">
        <w:t xml:space="preserve">. </w:t>
      </w:r>
      <w:r w:rsidR="00C62E86">
        <w:t>A média da indústria naciona</w:t>
      </w:r>
      <w:r w:rsidR="001D59DA">
        <w:t>l também mostrou avanço entre os pesquisadores em P&amp;D com nível médio ou fundamental, de 16,8% em 2011 para 19% em 2014, com redução da participação dos dois outros grupos com maior escolaridade (Tabela</w:t>
      </w:r>
      <w:r w:rsidR="00125FA5">
        <w:t xml:space="preserve"> 5</w:t>
      </w:r>
      <w:r w:rsidR="001D59DA">
        <w:t>).</w:t>
      </w:r>
      <w:r w:rsidR="00271B75">
        <w:t xml:space="preserve"> </w:t>
      </w:r>
      <w:r w:rsidR="00B76D38">
        <w:t xml:space="preserve">Repare-se que as empresas industriais do Estado demonstraram menor proporção de pesquisadores pós-graduados que a média nacional nos dois anos analisados. </w:t>
      </w:r>
      <w:r w:rsidR="00271B75">
        <w:t>N</w:t>
      </w:r>
      <w:r w:rsidR="00472196">
        <w:t xml:space="preserve">ote-se </w:t>
      </w:r>
      <w:r w:rsidR="00C224F6">
        <w:t xml:space="preserve">que no Rio Grande do Sul e no Brasil nos três grupos de pesquisadores houve elevação em números absolutos, mas com mais intensidade </w:t>
      </w:r>
      <w:r w:rsidR="00220756">
        <w:t>entre aqueles com</w:t>
      </w:r>
      <w:r w:rsidR="00472196">
        <w:t xml:space="preserve"> menor ní</w:t>
      </w:r>
      <w:r w:rsidR="00220756">
        <w:t>vel de escolaridade</w:t>
      </w:r>
      <w:r w:rsidR="00472196">
        <w:t>.</w:t>
      </w:r>
      <w:r w:rsidR="00C62E86">
        <w:t xml:space="preserve"> </w:t>
      </w:r>
      <w:r w:rsidR="00B76D38">
        <w:t xml:space="preserve">Com isso, a densidade de pesquisadores pós-graduados por empresa também apresentou evolução de 2011 a 2014, de 0,07 para 0,13 na indústria do Rio Grande do Sul e de 0,14 </w:t>
      </w:r>
      <w:r w:rsidR="00B76D38" w:rsidRPr="001819CE">
        <w:t xml:space="preserve">para 0,18 na média industrial nacional. Igualmente, a densidade de pesquisadores pós-graduados por empresa esteve abaixo da média nacional </w:t>
      </w:r>
      <w:r w:rsidR="00B3754D" w:rsidRPr="001819CE">
        <w:t>nesses dois anos. De um modo geral, pode-se considerar que as frações de pós-graduados do total em P&amp;D na indústria brasileira ainda sejam relativamente baixas.</w:t>
      </w:r>
    </w:p>
    <w:p w14:paraId="08A7B15F" w14:textId="77777777" w:rsidR="00F77849" w:rsidRDefault="00F77849" w:rsidP="00B7388F"/>
    <w:p w14:paraId="410659E0" w14:textId="77777777" w:rsidR="00207BD6" w:rsidRDefault="00207BD6" w:rsidP="00B7388F"/>
    <w:p w14:paraId="3E29739C" w14:textId="77777777" w:rsidR="002B3A6D" w:rsidRPr="003F3BC2" w:rsidRDefault="002B3A6D" w:rsidP="003F3BC2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713"/>
        <w:gridCol w:w="850"/>
        <w:gridCol w:w="850"/>
        <w:gridCol w:w="993"/>
        <w:gridCol w:w="707"/>
        <w:gridCol w:w="848"/>
        <w:gridCol w:w="848"/>
        <w:gridCol w:w="999"/>
        <w:gridCol w:w="566"/>
        <w:gridCol w:w="665"/>
      </w:tblGrid>
      <w:tr w:rsidR="002B6910" w:rsidRPr="003F3BC2" w14:paraId="6ADB024C" w14:textId="77777777" w:rsidTr="00BD5CFC">
        <w:trPr>
          <w:trHeight w:val="77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D985C" w14:textId="56A35064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Tabela</w:t>
            </w:r>
            <w:r w:rsidR="00125FA5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5</w:t>
            </w:r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: Pessoal alocado em P&amp;D em função de pesquisado</w:t>
            </w:r>
            <w:r w:rsidR="00417EBA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r, por nível de escolaridade e por empresa</w:t>
            </w:r>
            <w:r w:rsidR="00C95C68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,</w:t>
            </w:r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</w:t>
            </w:r>
            <w:r w:rsidR="00417EBA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na indústria</w:t>
            </w:r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dos Estados mais industrializados do Brasil: 2011 e </w:t>
            </w:r>
            <w:proofErr w:type="gramStart"/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2014</w:t>
            </w:r>
            <w:proofErr w:type="gramEnd"/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</w:t>
            </w:r>
          </w:p>
        </w:tc>
      </w:tr>
      <w:tr w:rsidR="003B31DA" w:rsidRPr="003F3BC2" w14:paraId="57390A88" w14:textId="77777777" w:rsidTr="009B47AD">
        <w:trPr>
          <w:trHeight w:val="67"/>
        </w:trPr>
        <w:tc>
          <w:tcPr>
            <w:tcW w:w="66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7A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Unidade da Federação</w:t>
            </w:r>
          </w:p>
        </w:tc>
        <w:tc>
          <w:tcPr>
            <w:tcW w:w="183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AC98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183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F57E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DE68" w14:textId="077BBE30" w:rsidR="002B6910" w:rsidRPr="003F3BC2" w:rsidRDefault="009D2878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PG / 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Empresa</w:t>
            </w:r>
          </w:p>
        </w:tc>
      </w:tr>
      <w:tr w:rsidR="009D2878" w:rsidRPr="003F3BC2" w14:paraId="00F18CAA" w14:textId="77777777" w:rsidTr="009B47AD">
        <w:trPr>
          <w:trHeight w:val="67"/>
        </w:trPr>
        <w:tc>
          <w:tcPr>
            <w:tcW w:w="66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D993" w14:textId="77777777" w:rsidR="002B6910" w:rsidRPr="003F3BC2" w:rsidRDefault="002B6910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8B1E5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D81B3" w14:textId="3C399F93" w:rsidR="002B6910" w:rsidRPr="003F3BC2" w:rsidRDefault="003B31DA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Pós-Graduado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56BE5" w14:textId="18FF4DBE" w:rsidR="002B6910" w:rsidRPr="003F3BC2" w:rsidRDefault="003B31DA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Graduado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0F0D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Nível médio ou fundamental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34960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2D80C" w14:textId="249BD4AA" w:rsidR="002B6910" w:rsidRPr="003F3BC2" w:rsidRDefault="003B31DA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Pós-Graduado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6F49E" w14:textId="1D9B81A1" w:rsidR="002B6910" w:rsidRPr="003F3BC2" w:rsidRDefault="003B31DA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Graduado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3F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Nível médio ou fundamental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C6F98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1E66C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</w:tr>
      <w:tr w:rsidR="009D2878" w:rsidRPr="003F3BC2" w14:paraId="69911B08" w14:textId="77777777" w:rsidTr="00BD5CFC">
        <w:trPr>
          <w:trHeight w:val="6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78D" w14:textId="0920D96B" w:rsidR="002B6910" w:rsidRPr="003F3BC2" w:rsidRDefault="002B6910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Brasil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B2FE" w14:textId="3710638B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45.354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8640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622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70,6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ADF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16,8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D2A7" w14:textId="2766AE31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66.116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421C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062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69,3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328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19,0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5002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521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0,18</w:t>
            </w:r>
          </w:p>
        </w:tc>
      </w:tr>
      <w:tr w:rsidR="009D2878" w:rsidRPr="003F3BC2" w14:paraId="05331882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FF55" w14:textId="4C418369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Rio de Janeiro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62A1" w14:textId="000C994F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3.551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92FA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6E84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61,1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94CC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1D96" w14:textId="127E739D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4.186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0EA2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25,4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4288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60,2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218A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14,4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8593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0,57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1517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0,66</w:t>
            </w:r>
          </w:p>
        </w:tc>
      </w:tr>
      <w:tr w:rsidR="009D2878" w:rsidRPr="003F3BC2" w14:paraId="6DBA4A22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DE2A" w14:textId="085B2D10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Minas Gerais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A7CE" w14:textId="077BF49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5.029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6CAA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A613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48,8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0B87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39,1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813" w14:textId="24DDA68D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6.359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F875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8C4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59,6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54E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28,0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2F94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390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0,16</w:t>
            </w:r>
          </w:p>
        </w:tc>
      </w:tr>
      <w:tr w:rsidR="009D2878" w:rsidRPr="003F3BC2" w14:paraId="62C36972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FDDA" w14:textId="2CDC7117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São Paulo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5A5" w14:textId="712D7D42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22.869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2F6D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330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77,6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5312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10,6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9B7" w14:textId="0B2047C6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32.274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29D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115C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77,0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FFD7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BA0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0,21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F0C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0,30</w:t>
            </w:r>
          </w:p>
        </w:tc>
      </w:tr>
      <w:tr w:rsidR="009D2878" w:rsidRPr="003F3BC2" w14:paraId="787B53FD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21D" w14:textId="2E82AD3A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4E5108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Rio G.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do Sul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9B5D" w14:textId="4F7A1124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4.550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F6C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E41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67,8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0BE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25,2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1B13" w14:textId="593DF57E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6.499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68A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1F6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57,1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A0E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33,6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414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846E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0,13</w:t>
            </w:r>
          </w:p>
        </w:tc>
      </w:tr>
      <w:tr w:rsidR="009D2878" w:rsidRPr="003F3BC2" w14:paraId="3F827DF3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D8F" w14:textId="221A4CBA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Santa Catarina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191D" w14:textId="46DF5A1A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2.447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2FEC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15,2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806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65,2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FF7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19,6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102" w14:textId="1E5F434C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5.673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E193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6,1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BB2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60,4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05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33,5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1B3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AF8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0,08</w:t>
            </w:r>
          </w:p>
        </w:tc>
      </w:tr>
      <w:tr w:rsidR="009D2878" w:rsidRPr="003F3BC2" w14:paraId="69388942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B5A9" w14:textId="65FE43CD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Paraná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DAD4" w14:textId="3118582F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2.931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6F7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C44D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79,0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9E42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0D1E" w14:textId="0FDB8B44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4.494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E1C8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5,4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A41B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78,5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4964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16,1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7A44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3CA0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0,06</w:t>
            </w:r>
          </w:p>
        </w:tc>
      </w:tr>
      <w:tr w:rsidR="009D2878" w:rsidRPr="003F3BC2" w14:paraId="28C47718" w14:textId="77777777" w:rsidTr="00BD5CFC">
        <w:trPr>
          <w:trHeight w:val="77"/>
        </w:trPr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B17" w14:textId="667BED35" w:rsidR="002B6910" w:rsidRPr="003F3BC2" w:rsidRDefault="00AE1F94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</w:t>
            </w:r>
            <w:r w:rsidR="002B6910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Outros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681F" w14:textId="14AC1F5D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3.976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D5423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AB9E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8B43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21,4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87264" w14:textId="568A6F2F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6.631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93322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13,3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B59CD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59,8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4AA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F912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0,05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09C99" w14:textId="77777777" w:rsidR="002B6910" w:rsidRPr="003F3BC2" w:rsidRDefault="002B6910" w:rsidP="003F3BC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0,09</w:t>
            </w:r>
          </w:p>
        </w:tc>
      </w:tr>
      <w:tr w:rsidR="002B6910" w:rsidRPr="003F3BC2" w14:paraId="36582D50" w14:textId="77777777" w:rsidTr="00BD5CFC">
        <w:trPr>
          <w:trHeight w:val="67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192" w14:textId="77777777" w:rsidR="002B6910" w:rsidRPr="003F3BC2" w:rsidRDefault="002B6910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2B6910" w:rsidRPr="003F3BC2" w14:paraId="7B7036F2" w14:textId="77777777" w:rsidTr="00BD5CFC">
        <w:trPr>
          <w:trHeight w:val="7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F36A4" w14:textId="30858135" w:rsidR="002B6910" w:rsidRPr="003F3BC2" w:rsidRDefault="002B6910" w:rsidP="003F3BC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Nota: Foram consideradas as empresas das indústrias extrativas e de transformação que </w:t>
            </w:r>
            <w:proofErr w:type="gramStart"/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implementaram</w:t>
            </w:r>
            <w:proofErr w:type="gramEnd"/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produto e/ou processo tecnologicamente novo ou substancialmente aprimorado.</w:t>
            </w:r>
            <w:r w:rsidR="00BD5CFC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r w:rsidR="00B02D0B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Os percentuais foram calculados em</w:t>
            </w:r>
            <w:r w:rsidR="003E30D7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r w:rsidR="00B02D0B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relação</w:t>
            </w:r>
            <w:r w:rsidR="003E30D7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r w:rsidR="00B02D0B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ao </w:t>
            </w:r>
            <w:r w:rsidR="009B47AD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Total.</w:t>
            </w:r>
            <w:r w:rsidR="002B3A6D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  </w:t>
            </w:r>
            <w:r w:rsidR="00DC7391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“PG” representa </w:t>
            </w:r>
            <w:proofErr w:type="gramStart"/>
            <w:r w:rsidR="00DC7391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Pós-Graduados</w:t>
            </w:r>
            <w:proofErr w:type="gramEnd"/>
            <w:r w:rsidR="00DC7391"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. </w:t>
            </w:r>
          </w:p>
        </w:tc>
      </w:tr>
    </w:tbl>
    <w:p w14:paraId="0EFF71D0" w14:textId="1C50C462" w:rsidR="0040787D" w:rsidRPr="003F3BC2" w:rsidRDefault="0040787D" w:rsidP="003F3BC2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1D8A806C" w14:textId="7E380D88" w:rsidR="00091586" w:rsidRPr="00A37A7B" w:rsidRDefault="004D56C8" w:rsidP="00091586">
      <w:r>
        <w:t>Estas observaçõ</w:t>
      </w:r>
      <w:r w:rsidR="007475D4">
        <w:t>es permitem</w:t>
      </w:r>
      <w:r>
        <w:t xml:space="preserve"> o entendimento de que, dentre as capacitações tecnológicas das empresas industriais do Rio Grande do Sul e do B</w:t>
      </w:r>
      <w:r w:rsidR="00FF571E">
        <w:t xml:space="preserve">rasil, a proporção de </w:t>
      </w:r>
      <w:r w:rsidR="001B4141">
        <w:t xml:space="preserve">pesquisadores </w:t>
      </w:r>
      <w:r w:rsidR="00FF571E">
        <w:t>pós-graduados</w:t>
      </w:r>
      <w:r>
        <w:t xml:space="preserve"> ocupados na realização de atividades de P&amp;D interno</w:t>
      </w:r>
      <w:r w:rsidR="00EA0E40">
        <w:t>, particularmente doutores,</w:t>
      </w:r>
      <w:r>
        <w:t xml:space="preserve"> seja </w:t>
      </w:r>
      <w:r w:rsidR="00FF571E">
        <w:t>a que relativamente</w:t>
      </w:r>
      <w:r w:rsidR="00703163">
        <w:t xml:space="preserve"> requeira maiores investimentos</w:t>
      </w:r>
      <w:r>
        <w:t xml:space="preserve">. </w:t>
      </w:r>
      <w:r w:rsidR="001B4141">
        <w:t>Essa relativa fragilidade no nível de qualifica</w:t>
      </w:r>
      <w:r w:rsidR="00CE43CF">
        <w:t>ção do pessoal ocupado em P&amp;D também</w:t>
      </w:r>
      <w:r w:rsidR="001B4141">
        <w:t xml:space="preserve"> havia sido diagnosticada p</w:t>
      </w:r>
      <w:r w:rsidR="00471B7E">
        <w:t xml:space="preserve">ara o Estado e o País em </w:t>
      </w:r>
      <w:r w:rsidR="0003117E">
        <w:t xml:space="preserve">análises </w:t>
      </w:r>
      <w:r w:rsidR="005B45E4">
        <w:t xml:space="preserve">de 2000 </w:t>
      </w:r>
      <w:r w:rsidR="0003117E">
        <w:t xml:space="preserve">até </w:t>
      </w:r>
      <w:r w:rsidR="00471B7E">
        <w:t>2011 (BERNARDINI et. al., 2014).</w:t>
      </w:r>
      <w:r w:rsidR="001B4141">
        <w:t xml:space="preserve">  </w:t>
      </w:r>
      <w:r w:rsidR="00091586">
        <w:t>Para o agregado do sistema nacional de inovação</w:t>
      </w:r>
      <w:r w:rsidR="00091586" w:rsidRPr="00A37A7B">
        <w:t xml:space="preserve">, </w:t>
      </w:r>
      <w:proofErr w:type="spellStart"/>
      <w:r w:rsidR="00EA0E40" w:rsidRPr="00A37A7B">
        <w:t>Rapini</w:t>
      </w:r>
      <w:proofErr w:type="spellEnd"/>
      <w:r w:rsidR="00EA0E40" w:rsidRPr="00A37A7B">
        <w:t xml:space="preserve">, </w:t>
      </w:r>
      <w:proofErr w:type="spellStart"/>
      <w:r w:rsidR="00EA0E40" w:rsidRPr="00A37A7B">
        <w:t>Chiarini</w:t>
      </w:r>
      <w:proofErr w:type="spellEnd"/>
      <w:r w:rsidR="00EA0E40" w:rsidRPr="00A37A7B">
        <w:t xml:space="preserve"> e Bittencourt (2017, p.13) </w:t>
      </w:r>
      <w:r w:rsidR="00911FED" w:rsidRPr="00A37A7B">
        <w:t>fazem constatações semelhantes,</w:t>
      </w:r>
      <w:r w:rsidR="00091586" w:rsidRPr="00A37A7B">
        <w:t xml:space="preserve"> </w:t>
      </w:r>
      <w:r w:rsidR="00911FED" w:rsidRPr="00A37A7B">
        <w:t xml:space="preserve">de </w:t>
      </w:r>
      <w:r w:rsidR="00091586" w:rsidRPr="00A37A7B">
        <w:t xml:space="preserve">que </w:t>
      </w:r>
      <w:r w:rsidR="00911FED" w:rsidRPr="00A37A7B">
        <w:t xml:space="preserve">a relativa </w:t>
      </w:r>
      <w:r w:rsidR="00091586" w:rsidRPr="00A37A7B">
        <w:t xml:space="preserve">falta </w:t>
      </w:r>
      <w:r w:rsidR="00911FED" w:rsidRPr="00A37A7B">
        <w:t xml:space="preserve">de </w:t>
      </w:r>
      <w:r w:rsidR="00091586" w:rsidRPr="00A37A7B">
        <w:t>pessoal qualificado</w:t>
      </w:r>
      <w:r w:rsidR="00911FED" w:rsidRPr="00A37A7B">
        <w:t xml:space="preserve"> </w:t>
      </w:r>
      <w:r w:rsidR="00CB650E" w:rsidRPr="00A37A7B">
        <w:t>nas empresas seja um limitante</w:t>
      </w:r>
      <w:r w:rsidR="00911FED" w:rsidRPr="00A37A7B">
        <w:t xml:space="preserve"> importante à realização de processos associados ao desenvolvimento de inovaçõ</w:t>
      </w:r>
      <w:r w:rsidR="00CB650E" w:rsidRPr="00A37A7B">
        <w:t>es</w:t>
      </w:r>
      <w:r w:rsidR="005055D5" w:rsidRPr="00A37A7B">
        <w:t xml:space="preserve">, além de </w:t>
      </w:r>
      <w:r w:rsidR="002834D7">
        <w:t xml:space="preserve">ser </w:t>
      </w:r>
      <w:r w:rsidR="005055D5" w:rsidRPr="00A37A7B">
        <w:t xml:space="preserve">um ponto </w:t>
      </w:r>
      <w:r w:rsidR="00EE0D14">
        <w:t xml:space="preserve">a ser melhorado </w:t>
      </w:r>
      <w:r w:rsidR="005055D5" w:rsidRPr="00A37A7B">
        <w:t>nas po</w:t>
      </w:r>
      <w:r w:rsidR="00EE0D14">
        <w:t>líticas</w:t>
      </w:r>
      <w:r w:rsidR="00CB650E" w:rsidRPr="00A37A7B">
        <w:t>.</w:t>
      </w:r>
      <w:r w:rsidR="00911FED" w:rsidRPr="00A37A7B">
        <w:t xml:space="preserve"> </w:t>
      </w:r>
    </w:p>
    <w:p w14:paraId="6CAE17B3" w14:textId="1728C48E" w:rsidR="00B7388F" w:rsidRPr="00E7263C" w:rsidRDefault="00377729" w:rsidP="00E7263C">
      <w:r w:rsidRPr="001B47EF">
        <w:t>Em relação ao regime de dedicação dos recursos humanos à realização de atividades de P&amp;D interno na indústria do Ri</w:t>
      </w:r>
      <w:r w:rsidR="00B2664B">
        <w:t xml:space="preserve">o Grande do Sul e do Brasil, </w:t>
      </w:r>
      <w:r w:rsidRPr="001B47EF">
        <w:t>nota</w:t>
      </w:r>
      <w:r w:rsidR="00B2664B">
        <w:t xml:space="preserve">-se </w:t>
      </w:r>
      <w:r w:rsidRPr="001B47EF">
        <w:t>que houve um processo de elevação do número dos especializados</w:t>
      </w:r>
      <w:r w:rsidR="00B95355" w:rsidRPr="001B47EF">
        <w:t xml:space="preserve"> </w:t>
      </w:r>
      <w:r w:rsidR="00B2664B">
        <w:t xml:space="preserve">no intervalo 2005-2014 </w:t>
      </w:r>
      <w:r w:rsidR="001568A6">
        <w:t>(Tabela 6</w:t>
      </w:r>
      <w:r w:rsidR="00B95355" w:rsidRPr="001B47EF">
        <w:t>)</w:t>
      </w:r>
      <w:r w:rsidRPr="001B47EF">
        <w:t>.</w:t>
      </w:r>
      <w:r w:rsidR="00B95355" w:rsidRPr="001B47EF">
        <w:t xml:space="preserve"> No Rio Grande do Sul, a variação </w:t>
      </w:r>
      <w:r w:rsidR="007E78E3" w:rsidRPr="001B47EF">
        <w:t xml:space="preserve">desse contingente </w:t>
      </w:r>
      <w:r w:rsidR="00B95355" w:rsidRPr="001B47EF">
        <w:t>de</w:t>
      </w:r>
      <w:r w:rsidR="00B95355">
        <w:t xml:space="preserve"> 2005 para 2014 foi de 66,7%</w:t>
      </w:r>
      <w:r w:rsidR="00C67733">
        <w:t xml:space="preserve"> e n</w:t>
      </w:r>
      <w:r w:rsidR="007E78E3">
        <w:t>a média do Brasil</w:t>
      </w:r>
      <w:r w:rsidR="002D05BE">
        <w:t xml:space="preserve"> de 44</w:t>
      </w:r>
      <w:r w:rsidR="00C67733">
        <w:t>,1%</w:t>
      </w:r>
      <w:r w:rsidR="007E78E3">
        <w:t xml:space="preserve">, sendo que Minas Gerais </w:t>
      </w:r>
      <w:r w:rsidR="005B0F21">
        <w:t>com 132,5% e Paraná com 110,9% obti</w:t>
      </w:r>
      <w:r w:rsidR="007E78E3">
        <w:t>ve</w:t>
      </w:r>
      <w:r w:rsidR="005B0F21">
        <w:t>ram</w:t>
      </w:r>
      <w:r w:rsidR="007E78E3">
        <w:t xml:space="preserve"> o</w:t>
      </w:r>
      <w:r w:rsidR="005B0F21">
        <w:t>s</w:t>
      </w:r>
      <w:r w:rsidR="007E78E3">
        <w:t xml:space="preserve"> melhor</w:t>
      </w:r>
      <w:r w:rsidR="005B0F21">
        <w:t>es</w:t>
      </w:r>
      <w:r w:rsidR="007E78E3">
        <w:t xml:space="preserve"> desempenho</w:t>
      </w:r>
      <w:r w:rsidR="005B0F21">
        <w:t>s</w:t>
      </w:r>
      <w:r w:rsidR="007E78E3">
        <w:t>.</w:t>
      </w:r>
      <w:r w:rsidR="00B9188B">
        <w:t xml:space="preserve"> </w:t>
      </w:r>
      <w:r w:rsidR="00420780">
        <w:t xml:space="preserve">A </w:t>
      </w:r>
      <w:proofErr w:type="gramStart"/>
      <w:r w:rsidR="00420780">
        <w:t>performance</w:t>
      </w:r>
      <w:proofErr w:type="gramEnd"/>
      <w:r w:rsidR="00E63A45">
        <w:t xml:space="preserve"> do Rio Grande do Sul</w:t>
      </w:r>
      <w:r w:rsidR="00B9188B">
        <w:t xml:space="preserve"> acima da média nacional resultou em aumento de </w:t>
      </w:r>
      <w:r w:rsidR="00B22D79">
        <w:t xml:space="preserve">sua </w:t>
      </w:r>
      <w:r w:rsidR="00B9188B">
        <w:t>participação</w:t>
      </w:r>
      <w:r w:rsidR="00B22D79">
        <w:t xml:space="preserve"> no total de recursos humanos alocados com dedicação exclusiva à</w:t>
      </w:r>
      <w:r w:rsidR="00BD7B6E">
        <w:t>s atividades de P&amp;D no Brasil</w:t>
      </w:r>
      <w:r w:rsidR="00B22D79">
        <w:t xml:space="preserve">, de </w:t>
      </w:r>
      <w:r w:rsidR="00420780">
        <w:t>7,6% em 2005 para 8,8% em 2014.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9"/>
        <w:gridCol w:w="646"/>
        <w:gridCol w:w="725"/>
        <w:gridCol w:w="646"/>
        <w:gridCol w:w="725"/>
        <w:gridCol w:w="646"/>
        <w:gridCol w:w="725"/>
        <w:gridCol w:w="646"/>
        <w:gridCol w:w="725"/>
        <w:gridCol w:w="567"/>
        <w:gridCol w:w="567"/>
        <w:gridCol w:w="567"/>
        <w:gridCol w:w="567"/>
      </w:tblGrid>
      <w:tr w:rsidR="00EC68EE" w:rsidRPr="003F3BC2" w14:paraId="65260A90" w14:textId="77777777" w:rsidTr="00C73714">
        <w:trPr>
          <w:trHeight w:val="71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3ADFA" w14:textId="020AEA19" w:rsidR="00EC68EE" w:rsidRPr="003F3BC2" w:rsidRDefault="001568A6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Tabela 6</w:t>
            </w:r>
            <w:r w:rsidR="00EC68EE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: Recursos humanos ocupados em atividades int</w:t>
            </w:r>
            <w:r w:rsidR="00D04D4A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ernas de P&amp;D com dedicação exclusiva</w:t>
            </w:r>
            <w:r w:rsidR="00EC68EE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em empresas industriais que </w:t>
            </w:r>
            <w:proofErr w:type="gramStart"/>
            <w:r w:rsidR="00EC68EE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implementaram</w:t>
            </w:r>
            <w:proofErr w:type="gramEnd"/>
            <w:r w:rsidR="00EC68EE" w:rsidRPr="003F3BC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inovações nos Estados industrializados do Brasil: 2005-2014</w:t>
            </w:r>
          </w:p>
        </w:tc>
      </w:tr>
      <w:tr w:rsidR="00EC68EE" w:rsidRPr="003F3BC2" w14:paraId="7D495FB2" w14:textId="77777777" w:rsidTr="00EC68EE">
        <w:trPr>
          <w:trHeight w:val="67"/>
        </w:trPr>
        <w:tc>
          <w:tcPr>
            <w:tcW w:w="83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FBC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Unidade da Federação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75F2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882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60AD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C46E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8035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Participação dos Estados</w:t>
            </w:r>
          </w:p>
        </w:tc>
      </w:tr>
      <w:tr w:rsidR="00EC68EE" w:rsidRPr="003F3BC2" w14:paraId="2AC1B43C" w14:textId="77777777" w:rsidTr="00EC68EE">
        <w:trPr>
          <w:trHeight w:val="67"/>
        </w:trPr>
        <w:tc>
          <w:tcPr>
            <w:tcW w:w="8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925D4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CFAB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AB5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Nº/Total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F20A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1F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Nº/Total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31BD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16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Nº/Total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91F5C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CF55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Nº/Total</w:t>
            </w:r>
          </w:p>
        </w:tc>
        <w:tc>
          <w:tcPr>
            <w:tcW w:w="12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E896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</w:tr>
      <w:tr w:rsidR="00EC68EE" w:rsidRPr="003F3BC2" w14:paraId="213F3304" w14:textId="77777777" w:rsidTr="00EC68EE">
        <w:trPr>
          <w:trHeight w:val="67"/>
        </w:trPr>
        <w:tc>
          <w:tcPr>
            <w:tcW w:w="8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314B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6BFFBD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A1F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D781CD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AD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C4CDD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B5D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05277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CDC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E4B6D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038F0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52CB2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9CE0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</w:tr>
      <w:tr w:rsidR="00EC68EE" w:rsidRPr="003F3BC2" w14:paraId="6B64691F" w14:textId="77777777" w:rsidTr="00EC68EE">
        <w:trPr>
          <w:trHeight w:val="6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AAD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Brasil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D77F" w14:textId="427354EF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42.535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2E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89,3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17F" w14:textId="350825C1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43.719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CD3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90,9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5FE" w14:textId="6E52004F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60.895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84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85,3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36E7" w14:textId="4B49EE71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61.282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F71E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80,4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DA0B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AEE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C75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29C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100,0</w:t>
            </w:r>
          </w:p>
        </w:tc>
      </w:tr>
      <w:tr w:rsidR="00EC68EE" w:rsidRPr="003F3BC2" w14:paraId="20628A3A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AEC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São Paulo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DF7F" w14:textId="23616ECA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24.195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B15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91,2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1657" w14:textId="236EB2AA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22.433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CE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91,8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704D" w14:textId="7D65D9E9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28.786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2A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87,5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A1DA" w14:textId="26DC69CE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31.353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23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82,4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603C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56,9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404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51,3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2F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47,3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FB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51,2</w:t>
            </w:r>
          </w:p>
        </w:tc>
      </w:tr>
      <w:tr w:rsidR="00EC68EE" w:rsidRPr="003F3BC2" w14:paraId="07604B60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8BF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Minas Gerais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F7E" w14:textId="058B2578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2.433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FF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86,3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90B3" w14:textId="354F86BA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3.494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25C6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88,5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BC8" w14:textId="0CD65A30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6.626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56E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83,4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F468" w14:textId="5E4B7456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5.655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38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79,6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F105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088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40B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10,9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A6BB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9,2</w:t>
            </w:r>
          </w:p>
        </w:tc>
      </w:tr>
      <w:tr w:rsidR="00EC68EE" w:rsidRPr="003F3BC2" w14:paraId="057276A5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385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Rio Grande do Sul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0E25" w14:textId="112B5F5A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3.230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090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84,0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A61A" w14:textId="3B45C9DC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4.131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95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87,4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DD99" w14:textId="4CA6184A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6.513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94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79,4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018" w14:textId="37258CAC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5.385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524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71,5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74CB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8678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F5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10,7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166E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8,8</w:t>
            </w:r>
          </w:p>
        </w:tc>
      </w:tr>
      <w:tr w:rsidR="00EC68EE" w:rsidRPr="003F3BC2" w14:paraId="0B2FC737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5503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Paraná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8FD" w14:textId="2BC118F3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2.133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4E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82,9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66A5" w14:textId="18F08FC9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2.572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D48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90,6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F17" w14:textId="375587E4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3.891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6978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82,5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D858" w14:textId="458DE5D4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4.500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0D6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81,3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ECC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4BA9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5,9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632C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6,4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B1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7,3</w:t>
            </w:r>
          </w:p>
        </w:tc>
      </w:tr>
      <w:tr w:rsidR="00EC68EE" w:rsidRPr="003F3BC2" w14:paraId="50FA05BA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503D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Rio de Janeiro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0409" w14:textId="5270A051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3.471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98D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92,7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876A" w14:textId="6B62F30F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3.728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6A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94,7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D8A0" w14:textId="5CF0D41F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5.216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87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87,7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91B3" w14:textId="7E138941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4.370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CA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87,5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F6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F64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4D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41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7,1</w:t>
            </w:r>
          </w:p>
        </w:tc>
      </w:tr>
      <w:tr w:rsidR="00EC68EE" w:rsidRPr="003F3BC2" w14:paraId="508DF610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0D1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Santa Catarina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2925" w14:textId="751D650B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2.964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B9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81,5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A448" w14:textId="1DBBBC58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3.113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8D4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87,4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391C" w14:textId="042FFA25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4.119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492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80,3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73A" w14:textId="63DF9AE8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3.725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A560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66,8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5713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4FD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7,1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C012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6,8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71FF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6,1</w:t>
            </w:r>
          </w:p>
        </w:tc>
      </w:tr>
      <w:tr w:rsidR="00EC68EE" w:rsidRPr="003F3BC2" w14:paraId="6565DC4B" w14:textId="77777777" w:rsidTr="00EC68EE">
        <w:trPr>
          <w:trHeight w:val="77"/>
        </w:trPr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704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Outras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312C" w14:textId="7797276E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46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91,4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ED114" w14:textId="6D1117C3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80D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91,6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881F" w14:textId="24BD58B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5.743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83A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88,4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A5766" w14:textId="3956F449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756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84,3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FB91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DD4E6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D529E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77A27" w14:textId="77777777" w:rsidR="00EC68EE" w:rsidRPr="003F3BC2" w:rsidRDefault="00EC68EE" w:rsidP="00236BD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10,3</w:t>
            </w:r>
          </w:p>
        </w:tc>
      </w:tr>
      <w:tr w:rsidR="00EC68EE" w:rsidRPr="003F3BC2" w14:paraId="7D99F264" w14:textId="77777777" w:rsidTr="00EC68EE">
        <w:trPr>
          <w:trHeight w:val="6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16F2" w14:textId="77777777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EC68EE" w:rsidRPr="003F3BC2" w14:paraId="6C7C80E9" w14:textId="77777777" w:rsidTr="00C73714">
        <w:trPr>
          <w:trHeight w:val="7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4D42D" w14:textId="20E22190" w:rsidR="00EC68EE" w:rsidRPr="003F3BC2" w:rsidRDefault="00EC68EE" w:rsidP="00236BD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Nota: Foram consideradas as empresas das indústrias extrativas e de transformação que </w:t>
            </w:r>
            <w:proofErr w:type="gramStart"/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implementaram</w:t>
            </w:r>
            <w:proofErr w:type="gramEnd"/>
            <w:r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produto e/ou processo tecnologicamente novo ou substancialmente aprimorado.</w:t>
            </w:r>
            <w:r w:rsidR="0071200D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O </w:t>
            </w:r>
            <w:r w:rsidR="00437AF6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número </w:t>
            </w:r>
            <w:r w:rsidR="0071200D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total utilizado </w:t>
            </w:r>
            <w:r w:rsidR="00437AF6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para calcular a participação do pessoal</w:t>
            </w:r>
            <w:proofErr w:type="gramStart"/>
            <w:r w:rsidR="00437AF6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 </w:t>
            </w:r>
            <w:proofErr w:type="gramEnd"/>
            <w:r w:rsidR="00437AF6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DE foi</w:t>
            </w:r>
            <w:r w:rsidR="001568A6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o mesmo apresentado na Tabela 4</w:t>
            </w:r>
            <w:r w:rsidR="00437AF6" w:rsidRPr="003F3BC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.</w:t>
            </w:r>
          </w:p>
        </w:tc>
      </w:tr>
    </w:tbl>
    <w:p w14:paraId="79FF105A" w14:textId="2D4B5959" w:rsidR="006154BA" w:rsidRDefault="005242AE" w:rsidP="007802BA">
      <w:r w:rsidRPr="003A66EE">
        <w:lastRenderedPageBreak/>
        <w:t>Em termos</w:t>
      </w:r>
      <w:r w:rsidRPr="000C4218">
        <w:t xml:space="preserve"> da importância relativa do pessoal</w:t>
      </w:r>
      <w:r w:rsidR="00240818" w:rsidRPr="000C4218">
        <w:t xml:space="preserve"> especializado em P&amp;D</w:t>
      </w:r>
      <w:r w:rsidRPr="000C4218">
        <w:t xml:space="preserve"> na indústria do Rio Grande do S</w:t>
      </w:r>
      <w:r w:rsidR="004C0E51">
        <w:t xml:space="preserve">ul e do Brasil, </w:t>
      </w:r>
      <w:r w:rsidR="00240818" w:rsidRPr="000C4218">
        <w:t>verifica</w:t>
      </w:r>
      <w:r w:rsidR="00D52349">
        <w:t>-se</w:t>
      </w:r>
      <w:r w:rsidRPr="000C4218">
        <w:t xml:space="preserve"> que houve um</w:t>
      </w:r>
      <w:r w:rsidR="00D52349">
        <w:t>a redução no período</w:t>
      </w:r>
      <w:r w:rsidRPr="000C4218">
        <w:t xml:space="preserve"> 2005-2014.</w:t>
      </w:r>
      <w:r w:rsidR="00240818" w:rsidRPr="000C4218">
        <w:t xml:space="preserve"> </w:t>
      </w:r>
      <w:r w:rsidR="00B95355" w:rsidRPr="000C4218">
        <w:t>No</w:t>
      </w:r>
      <w:r w:rsidR="00F81AD9">
        <w:t xml:space="preserve"> Estado</w:t>
      </w:r>
      <w:r w:rsidR="00B95355">
        <w:t>, em 2005 os profissionais com dedicação exclusiva (DE) às atividades de P&amp;D na indústria respondiam por 84% desse total, enquanto que em 2014 es</w:t>
      </w:r>
      <w:r w:rsidR="005E390C">
        <w:t>sa fração foi de 71,5% (Tabela 6</w:t>
      </w:r>
      <w:r w:rsidR="00B95355">
        <w:t xml:space="preserve">). </w:t>
      </w:r>
      <w:r w:rsidR="00C11AC4">
        <w:t xml:space="preserve">Inclusive, de 2011 para 2014 houve uma queda de 17,3% no número absoluto de profissionais ocupados em P&amp;D na indústria do Estado, mas este contingente ainda manteve-se acima daquele alcançado em 2008. </w:t>
      </w:r>
      <w:r w:rsidR="00B95355">
        <w:t xml:space="preserve">Similarmente para a média industrial brasileira, em 2005 o pessoal especializado em P&amp;D representava 89,3% desse total e em 2014 esse percentual foi de 80,4%. </w:t>
      </w:r>
      <w:r w:rsidR="00B95355" w:rsidRPr="00C11AC4">
        <w:t xml:space="preserve">Com isso, a </w:t>
      </w:r>
      <w:r w:rsidR="00C11AC4" w:rsidRPr="00C11AC4">
        <w:t>indústria do Estado apresentou</w:t>
      </w:r>
      <w:r w:rsidR="00B95355" w:rsidRPr="00C11AC4">
        <w:t xml:space="preserve"> redução de 12,5 pontos percentuais na proporção de pr</w:t>
      </w:r>
      <w:r w:rsidR="007E1C47" w:rsidRPr="00C11AC4">
        <w:t>ofissionais em P&amp;D em regime DE</w:t>
      </w:r>
      <w:r w:rsidR="00B95355" w:rsidRPr="00C11AC4">
        <w:t>. Para a média da indústria brasileira, a fração do pessoal ocupado em P&amp;D com DE se retraiu em 8,9 pontos percentuais.</w:t>
      </w:r>
      <w:r w:rsidR="00D52349">
        <w:t xml:space="preserve"> A</w:t>
      </w:r>
      <w:r w:rsidR="00B95355">
        <w:t>o longo da série, dentre os Estados industrializados, o Rio Grande do Sul esteve entre aqueles com as menores taxas de pessoal ocupado integralmente em atividades de P&amp;D na indústria e ab</w:t>
      </w:r>
      <w:r w:rsidR="007F2FBF">
        <w:t>aixo da média nacional.</w:t>
      </w:r>
    </w:p>
    <w:p w14:paraId="666500EF" w14:textId="5953BE50" w:rsidR="00B7388F" w:rsidRDefault="006C5BFC" w:rsidP="00D613E5">
      <w:r>
        <w:t>Do que foi analisado, no Rio Grande do Sul</w:t>
      </w:r>
      <w:r w:rsidR="00070B07">
        <w:t xml:space="preserve"> </w:t>
      </w:r>
      <w:r w:rsidR="00C7781A">
        <w:t>observou</w:t>
      </w:r>
      <w:r>
        <w:t>-se</w:t>
      </w:r>
      <w:r w:rsidR="00DF64EC">
        <w:t xml:space="preserve"> que</w:t>
      </w:r>
      <w:r w:rsidR="002F3CDF">
        <w:t xml:space="preserve"> </w:t>
      </w:r>
      <w:proofErr w:type="gramStart"/>
      <w:r w:rsidR="002F3CDF">
        <w:t>o contingente recursos</w:t>
      </w:r>
      <w:proofErr w:type="gramEnd"/>
      <w:r w:rsidR="002F3CDF">
        <w:t xml:space="preserve"> humanos ocupados em P&amp;D</w:t>
      </w:r>
      <w:r w:rsidR="00DF64EC">
        <w:t xml:space="preserve"> </w:t>
      </w:r>
      <w:r w:rsidR="0019084E">
        <w:t xml:space="preserve">na indústria </w:t>
      </w:r>
      <w:r w:rsidR="002F3CDF">
        <w:t xml:space="preserve">cresceu </w:t>
      </w:r>
      <w:r w:rsidR="00CA5D54">
        <w:t>no período 2005-2014</w:t>
      </w:r>
      <w:r w:rsidR="007F2FBF">
        <w:t>,</w:t>
      </w:r>
      <w:r w:rsidR="0019084E">
        <w:t xml:space="preserve"> </w:t>
      </w:r>
      <w:r w:rsidR="002F3CDF">
        <w:t>com continuidade</w:t>
      </w:r>
      <w:r w:rsidR="00585658">
        <w:t xml:space="preserve"> em seu total e </w:t>
      </w:r>
      <w:r w:rsidR="00CA5D54">
        <w:t xml:space="preserve">no </w:t>
      </w:r>
      <w:r w:rsidR="00585658">
        <w:t>número de pós-graduados,</w:t>
      </w:r>
      <w:r w:rsidR="002F3CDF">
        <w:t xml:space="preserve"> </w:t>
      </w:r>
      <w:r w:rsidR="00CA5D54">
        <w:t xml:space="preserve">mas </w:t>
      </w:r>
      <w:r w:rsidR="002F3CDF">
        <w:t xml:space="preserve">com oscilação </w:t>
      </w:r>
      <w:r w:rsidR="00CA5D54">
        <w:t>para os profissionais em regime de</w:t>
      </w:r>
      <w:r w:rsidR="00585658">
        <w:t xml:space="preserve"> dedicação exclusiva. </w:t>
      </w:r>
      <w:r w:rsidR="0019084E">
        <w:t>N</w:t>
      </w:r>
      <w:r w:rsidR="006B6945">
        <w:t>o agregado da indústria brasileira</w:t>
      </w:r>
      <w:r w:rsidR="00546957">
        <w:t>, o crescimento absoluto em ambos os</w:t>
      </w:r>
      <w:r w:rsidR="00F42E5E">
        <w:t xml:space="preserve"> </w:t>
      </w:r>
      <w:r w:rsidR="006B6945">
        <w:t xml:space="preserve">grupos alocados em P&amp;D foi contínuo entre 2005 e 2014. </w:t>
      </w:r>
      <w:r w:rsidR="00593960">
        <w:t xml:space="preserve">Em termos de ritmo de elevação, no Estado este foi mais intenso do que para a média nacional. </w:t>
      </w:r>
      <w:r w:rsidR="002F3CDF">
        <w:t>No saldo final</w:t>
      </w:r>
      <w:r w:rsidR="00585658">
        <w:t xml:space="preserve"> do período 2005-2014</w:t>
      </w:r>
      <w:r w:rsidR="006B6945">
        <w:t>, no Rio Grande do Sul e no Brasil</w:t>
      </w:r>
      <w:r w:rsidR="00E03AB9">
        <w:t>,</w:t>
      </w:r>
      <w:r w:rsidR="006B6945">
        <w:t xml:space="preserve"> avalia-se que </w:t>
      </w:r>
      <w:r w:rsidR="00E03AB9">
        <w:t xml:space="preserve">a elevação em termos absolutos dos recursos humanos ocupados em P&amp;D </w:t>
      </w:r>
      <w:r w:rsidR="00E03AB9" w:rsidRPr="009D3EF5">
        <w:t xml:space="preserve">tenha ocorrido com mais intensidade do que em seu aspecto qualitativo, dado </w:t>
      </w:r>
      <w:r w:rsidR="00740341" w:rsidRPr="009D3EF5">
        <w:t>ter ocorrido com predomínio de pessoal com qualificação relativa</w:t>
      </w:r>
      <w:r w:rsidR="00C9778F">
        <w:t>mente mais baixa, assim como de</w:t>
      </w:r>
      <w:r w:rsidR="00740341" w:rsidRPr="009D3EF5">
        <w:t xml:space="preserve"> profissionais </w:t>
      </w:r>
      <w:r w:rsidR="00C9778F">
        <w:t>com dedicação parcial</w:t>
      </w:r>
      <w:r w:rsidR="00740341" w:rsidRPr="009D3EF5">
        <w:t>.</w:t>
      </w:r>
    </w:p>
    <w:p w14:paraId="1BCB75E1" w14:textId="77777777" w:rsidR="009E1437" w:rsidRPr="004F7864" w:rsidRDefault="009E1437" w:rsidP="000F4F1A">
      <w:pPr>
        <w:spacing w:before="200"/>
        <w:ind w:firstLine="0"/>
        <w:jc w:val="center"/>
        <w:rPr>
          <w:b/>
          <w:u w:val="single"/>
        </w:rPr>
      </w:pPr>
      <w:proofErr w:type="gramStart"/>
      <w:r>
        <w:rPr>
          <w:b/>
          <w:u w:val="single"/>
        </w:rPr>
        <w:t>2.3 – Infraestrutura</w:t>
      </w:r>
      <w:proofErr w:type="gramEnd"/>
      <w:r>
        <w:rPr>
          <w:b/>
          <w:u w:val="single"/>
        </w:rPr>
        <w:t xml:space="preserve"> para realização de</w:t>
      </w:r>
      <w:r w:rsidRPr="004F7864">
        <w:rPr>
          <w:b/>
          <w:u w:val="single"/>
        </w:rPr>
        <w:t xml:space="preserve"> atividades </w:t>
      </w:r>
      <w:r>
        <w:rPr>
          <w:b/>
          <w:u w:val="single"/>
        </w:rPr>
        <w:t xml:space="preserve">internas </w:t>
      </w:r>
      <w:r w:rsidRPr="004F7864">
        <w:rPr>
          <w:b/>
          <w:u w:val="single"/>
        </w:rPr>
        <w:t>de P&amp;D</w:t>
      </w:r>
    </w:p>
    <w:p w14:paraId="6775EBFD" w14:textId="6FFAC5D1" w:rsidR="009E1437" w:rsidRPr="004F7864" w:rsidRDefault="009E1437" w:rsidP="009E1437">
      <w:r>
        <w:t xml:space="preserve">Na discussão sobre capacitações tecnológicas das empresas, um dos fatores que apresenta maior dificuldade de mensuração é a infraestrutura disponível para a realização de atividades de pesquisa e desenvolvimento, compreendendo laboratórios, equipamentos, </w:t>
      </w:r>
      <w:r w:rsidR="000408E4">
        <w:t xml:space="preserve">prédios, </w:t>
      </w:r>
      <w:r>
        <w:t>etc. Uma maneira aproximada de mensuração consiste em identificar a proporção de empresas que inovaram e que realizaram atividades internas de P&amp;D, pois isso exige deter uma infraestrutura mínima</w:t>
      </w:r>
      <w:r>
        <w:rPr>
          <w:rStyle w:val="Refdenotaderodap"/>
        </w:rPr>
        <w:footnoteReference w:id="16"/>
      </w:r>
      <w:r>
        <w:t xml:space="preserve"> para tanto.</w:t>
      </w:r>
    </w:p>
    <w:p w14:paraId="31EB2C0B" w14:textId="77777777" w:rsidR="009E1437" w:rsidRDefault="009E1437" w:rsidP="009E1437">
      <w:r>
        <w:lastRenderedPageBreak/>
        <w:t xml:space="preserve">No período 2005-2014, o número de empresas industriais que introduziram inovações e que realizaram dispêndios em atividades </w:t>
      </w:r>
      <w:proofErr w:type="spellStart"/>
      <w:r>
        <w:t>inovativas</w:t>
      </w:r>
      <w:proofErr w:type="spellEnd"/>
      <w:r>
        <w:t xml:space="preserve"> apresentou evolução positiva, em geral, em todos os Estados industrializados brasileiros. A taxa de crescimento</w:t>
      </w:r>
      <w:r>
        <w:rPr>
          <w:rStyle w:val="Refdenotaderodap"/>
        </w:rPr>
        <w:footnoteReference w:id="17"/>
      </w:r>
      <w:r>
        <w:t xml:space="preserve"> de 2005 para 2014 desse número foi de 87,2% para o Rio Grande do Sul e de 73,3% para o Brasil. Já para as empresas que fizeram dispêndios em atividades internas de P&amp;D, as elevações desse contingente foram de 58,4% para o Estado e de 17,2% para o País. Observe-se que desde 2008</w:t>
      </w:r>
      <w:r>
        <w:rPr>
          <w:vertAlign w:val="superscript"/>
        </w:rPr>
        <w:t xml:space="preserve"> </w:t>
      </w:r>
      <w:r>
        <w:t>a quantidade de empresas que investiram em atividades internas de P&amp;D manteve-se em crescimento no Rio Grande do Sul (99,4%) e no Brasil (38,6</w:t>
      </w:r>
      <w:r w:rsidRPr="00DC065C">
        <w:t xml:space="preserve">%), mesmo com </w:t>
      </w:r>
      <w:r>
        <w:t>os momentos de adversidade para a economia brasileira entre 2009 e 2014</w:t>
      </w:r>
      <w:r w:rsidRPr="00DC065C">
        <w:t xml:space="preserve">. </w:t>
      </w:r>
    </w:p>
    <w:p w14:paraId="76D28DAD" w14:textId="62855B30" w:rsidR="00AF3982" w:rsidRPr="0016239A" w:rsidRDefault="009E1437" w:rsidP="003602DF">
      <w:r>
        <w:t>Apesar deste</w:t>
      </w:r>
      <w:r w:rsidRPr="00DC065C">
        <w:t xml:space="preserve"> desempenho nos Estados industrializados</w:t>
      </w:r>
      <w:r>
        <w:t xml:space="preserve"> em termos absolutos</w:t>
      </w:r>
      <w:r w:rsidRPr="00DC065C">
        <w:t>, em geral, a proporção de empresas industriais que inovaram com realização de dispêndios em P&amp;D interno, ainda não recuperou o patamar</w:t>
      </w:r>
      <w:r w:rsidR="0016239A">
        <w:t xml:space="preserve"> alcançado em 2005 (Tabela 7</w:t>
      </w:r>
      <w:r>
        <w:t>). Essa proporção mostra-se historicamente baixa, com máximo em 2005 de 26% de participação no Rio Grande do Sul e de 25,3% para o Brasil. Este dado reflete a predominância de processos passivos de aprendizado nessas indústrias, através da aquisição tecnologia embarcada em bens de capital ou em licenciamento de uso de patentes. Sob essa ótica, o ganho qualitativo nas capacitações em infraestrutura à P&amp;D foi relativamente menos intenso que o absoluto.</w:t>
      </w:r>
    </w:p>
    <w:tbl>
      <w:tblPr>
        <w:tblpPr w:leftFromText="180" w:rightFromText="180" w:vertAnchor="text" w:horzAnchor="page" w:tblpX="1630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567"/>
        <w:gridCol w:w="709"/>
        <w:gridCol w:w="709"/>
        <w:gridCol w:w="567"/>
        <w:gridCol w:w="709"/>
        <w:gridCol w:w="708"/>
        <w:gridCol w:w="567"/>
        <w:gridCol w:w="709"/>
        <w:gridCol w:w="567"/>
        <w:gridCol w:w="526"/>
      </w:tblGrid>
      <w:tr w:rsidR="009E1437" w:rsidRPr="00AF3982" w14:paraId="6A2F3F33" w14:textId="77777777" w:rsidTr="00156C90">
        <w:trPr>
          <w:trHeight w:val="77"/>
        </w:trPr>
        <w:tc>
          <w:tcPr>
            <w:tcW w:w="92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1C27E" w14:textId="2056573A" w:rsidR="009E1437" w:rsidRPr="00AF3982" w:rsidRDefault="0016239A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4F0D35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>Tabela 7</w:t>
            </w:r>
            <w:r w:rsidR="009E1437" w:rsidRPr="004F0D35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 xml:space="preserve">: Número de empresas industriais inovadoras com dispêndios em </w:t>
            </w:r>
            <w:r w:rsidR="004F0D35" w:rsidRPr="004F0D35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>P&amp;D interno e em atividades de inovação</w:t>
            </w:r>
            <w:r w:rsidR="009E1437" w:rsidRPr="004F0D35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highlight w:val="green"/>
              </w:rPr>
              <w:t xml:space="preserve"> nos principais Estados industrializados do Brasil: 2005-2014</w:t>
            </w:r>
          </w:p>
        </w:tc>
      </w:tr>
      <w:tr w:rsidR="009E1437" w:rsidRPr="00AF3982" w14:paraId="66F2C837" w14:textId="77777777" w:rsidTr="00156C90">
        <w:trPr>
          <w:trHeight w:val="67"/>
        </w:trPr>
        <w:tc>
          <w:tcPr>
            <w:tcW w:w="1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892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Unidade da Federação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802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099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CEE1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577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</w:tr>
      <w:tr w:rsidR="009E1437" w:rsidRPr="00AF3982" w14:paraId="68BC9752" w14:textId="77777777" w:rsidTr="00156C90">
        <w:trPr>
          <w:trHeight w:val="67"/>
        </w:trPr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E656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C2A7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E8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P&amp;D Int.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12E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5D2F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D81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P&amp;D Int.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06E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8A8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CAA5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P&amp;D Int.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07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636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6B6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P&amp;D Int.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851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I/T (%)</w:t>
            </w:r>
          </w:p>
        </w:tc>
      </w:tr>
      <w:tr w:rsidR="009E1437" w:rsidRPr="00AF3982" w14:paraId="2F567132" w14:textId="77777777" w:rsidTr="00156C90">
        <w:trPr>
          <w:trHeight w:val="6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3D6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 xml:space="preserve">Brasil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B38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19.951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655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5.046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62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0C9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30.645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E29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4.268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21A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E8D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32.616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C87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5.876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4BD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F29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34.583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286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5.914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008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17,1</w:t>
            </w:r>
          </w:p>
        </w:tc>
      </w:tr>
      <w:tr w:rsidR="009E1437" w:rsidRPr="00AF3982" w14:paraId="4D45EA2D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472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-São Paulo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659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7.639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2DD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2.570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BFD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3EF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10.063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709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D33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7D7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10.477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CC3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F54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532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10.108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837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2.503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472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24,8</w:t>
            </w:r>
          </w:p>
        </w:tc>
      </w:tr>
      <w:tr w:rsidR="009E1437" w:rsidRPr="00AF3982" w14:paraId="52B7CC1B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AF9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-Rio Grande do Sul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D82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2.157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B41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EBF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F28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3.326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7E7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39A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B1D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3.831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231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90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A8A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4.038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592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AC4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22,0</w:t>
            </w:r>
          </w:p>
        </w:tc>
      </w:tr>
      <w:tr w:rsidR="009E1437" w:rsidRPr="00AF3982" w14:paraId="0D07B055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023F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-Rio de Janeiro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0DF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57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353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001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DB1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953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17A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1.403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3B4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F63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9DE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7FA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FFD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18,7</w:t>
            </w:r>
          </w:p>
        </w:tc>
      </w:tr>
      <w:tr w:rsidR="009E1437" w:rsidRPr="00AF3982" w14:paraId="4B10D164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7B2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-Paraná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080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1.809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EC9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E95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26,8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E80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03F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407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33B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2.863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60D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4FB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5A9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3.331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A89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585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BE5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17,6</w:t>
            </w:r>
          </w:p>
        </w:tc>
      </w:tr>
      <w:tr w:rsidR="009E1437" w:rsidRPr="00AF3982" w14:paraId="69DA2B82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5BF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-Santa Catarina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A3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1.666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1D8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5B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21,2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955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089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2DC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F9D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2.732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685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3E9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620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3.671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505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460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4E1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12,5</w:t>
            </w:r>
          </w:p>
        </w:tc>
      </w:tr>
      <w:tr w:rsidR="009E1437" w:rsidRPr="00AF3982" w14:paraId="5F85FC6D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F6AF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-Minas Gerais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9D5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1.771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357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1EE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19,4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436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4.238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DAA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CAA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590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4.582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C63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3A9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15,1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79B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3.846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614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421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C2C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10,9</w:t>
            </w:r>
          </w:p>
        </w:tc>
      </w:tr>
      <w:tr w:rsidR="009E1437" w:rsidRPr="00AF3982" w14:paraId="12B429D2" w14:textId="77777777" w:rsidTr="00156C90">
        <w:trPr>
          <w:trHeight w:val="77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C627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-Outros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B96D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4.095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78E2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31C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B2E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C1B5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AC5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0957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6.727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ECD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E28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40B0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8.285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7A9D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791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9,8</w:t>
            </w:r>
          </w:p>
        </w:tc>
      </w:tr>
      <w:tr w:rsidR="009E1437" w:rsidRPr="00AF3982" w14:paraId="51FA993E" w14:textId="77777777" w:rsidTr="00156C90">
        <w:trPr>
          <w:trHeight w:val="67"/>
        </w:trPr>
        <w:tc>
          <w:tcPr>
            <w:tcW w:w="92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1530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9E1437" w:rsidRPr="00AF3982" w14:paraId="46F22B64" w14:textId="77777777" w:rsidTr="00156C90">
        <w:trPr>
          <w:trHeight w:val="77"/>
        </w:trPr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5D251" w14:textId="6CA49501" w:rsidR="009E1437" w:rsidRPr="00AF3982" w:rsidRDefault="00F81E30" w:rsidP="00AF3982">
            <w:pPr>
              <w:spacing w:line="240" w:lineRule="auto"/>
              <w:ind w:firstLine="0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Nota:</w:t>
            </w:r>
            <w:r w:rsidR="009E1437"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Foram consideradas as empresas industr</w:t>
            </w:r>
            <w:r w:rsidR="001058FA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iais que </w:t>
            </w:r>
            <w:proofErr w:type="gramStart"/>
            <w:r w:rsidR="001058FA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implementaram</w:t>
            </w:r>
            <w:proofErr w:type="gramEnd"/>
            <w:r w:rsidR="001058FA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produto e/ou </w:t>
            </w:r>
            <w:r w:rsidR="009E1437"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processo tecnologicamente novo ou substancialmente aprimorado, que desenvolveram projetos que foram abandonados ou ficaram incompletos, e que realizaram mudanças organizacionais.</w:t>
            </w:r>
          </w:p>
        </w:tc>
      </w:tr>
    </w:tbl>
    <w:p w14:paraId="53777D7C" w14:textId="77777777" w:rsidR="009E1437" w:rsidRPr="00AF3982" w:rsidRDefault="009E1437" w:rsidP="00AF3982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2A15D5F0" w14:textId="731CEC6B" w:rsidR="009E1437" w:rsidRDefault="009E1437" w:rsidP="009E1437">
      <w:r>
        <w:t>Na comparação entre Estados, o Rio Grande do Sul destacou-se com a segunda maior proporção de empresas com dispêndios em atividades internas de P&amp;D em 2011 (22,3%) e em 2014 (22,0%). Nesses dois anos, em comparação aos anteriores, o Estado apresentou um crescimento superior ao de outras unidades da federação, distanciando-se da média na</w:t>
      </w:r>
      <w:r w:rsidR="007C78E6">
        <w:t>cional nessa proporção (Tabela 7</w:t>
      </w:r>
      <w:r>
        <w:t xml:space="preserve">). Com isso, a indústria gaúcha não apenas manteve-se com o segundo maior contingente de empresas inovadoras, nos critérios de número das que efetuaram dispêndios em atividades </w:t>
      </w:r>
      <w:proofErr w:type="spellStart"/>
      <w:r>
        <w:t>inovativas</w:t>
      </w:r>
      <w:proofErr w:type="spellEnd"/>
      <w:r>
        <w:t xml:space="preserve"> e daquelas que o fizeram na realização de P&amp;D interno, mas também ampliou sua participação em ambos os grupos. De fato, em 2005 o </w:t>
      </w:r>
      <w:r>
        <w:lastRenderedPageBreak/>
        <w:t>Estado possuía 10,8% do total de firmas que realizou investimentos e</w:t>
      </w:r>
      <w:r w:rsidR="00C7016B">
        <w:t>m atividades de inovação e elevou</w:t>
      </w:r>
      <w:r>
        <w:t xml:space="preserve"> sua participação para 11,7% em 2014</w:t>
      </w:r>
      <w:r>
        <w:rPr>
          <w:rStyle w:val="Refdenotaderodap"/>
        </w:rPr>
        <w:footnoteReference w:id="18"/>
      </w:r>
      <w:r>
        <w:t xml:space="preserve">. Igualmente, na participação no total nacional de empresas industriais que realizaram gastos em P&amp;D interno para inovar, a indústria gaúcha respondia por 11,1% em 2005 e amplia essa parcela para 15% em 2014. </w:t>
      </w:r>
      <w:r w:rsidRPr="00501EC5">
        <w:t>Portanto, este</w:t>
      </w:r>
      <w:r>
        <w:t xml:space="preserve"> é um primeiro indício de melhora na infraestrutura à realização de atividades de P&amp;D próprias na indústria gaúcha, inclusive, com mais intensidade do que a média nacional.</w:t>
      </w:r>
    </w:p>
    <w:p w14:paraId="4F93E3F2" w14:textId="224B09DF" w:rsidR="009E1437" w:rsidRPr="00786691" w:rsidRDefault="009E1437" w:rsidP="00786691">
      <w:r>
        <w:t>Uma segunda aproximação para</w:t>
      </w:r>
      <w:r w:rsidRPr="00176400">
        <w:t xml:space="preserve"> a infraestrutura </w:t>
      </w:r>
      <w:r>
        <w:t>tecnológica própria disponível na indústria</w:t>
      </w:r>
      <w:r w:rsidRPr="00176400">
        <w:t xml:space="preserve"> consi</w:t>
      </w:r>
      <w:r>
        <w:t xml:space="preserve">ste em avaliar o número de firmas </w:t>
      </w:r>
      <w:r w:rsidRPr="00176400">
        <w:t xml:space="preserve">que realizam P&amp;D interno em caráter contínuo. </w:t>
      </w:r>
      <w:r>
        <w:t>Ao longo do período 2005-2014, a</w:t>
      </w:r>
      <w:r w:rsidRPr="00176400">
        <w:t xml:space="preserve"> </w:t>
      </w:r>
      <w:r>
        <w:t xml:space="preserve">indústria do </w:t>
      </w:r>
      <w:r w:rsidRPr="00176400">
        <w:t>Rio</w:t>
      </w:r>
      <w:r>
        <w:t xml:space="preserve"> Grande do Sul veio apresentando uma das maiores proporções de empresas com gastos contínuos em atividades internas de P&amp;D frente aos demais Estados industrializados, frequentemente entre os três melhores desempenhos</w:t>
      </w:r>
      <w:r w:rsidR="00026973">
        <w:t xml:space="preserve"> (Tabela 8)</w:t>
      </w:r>
      <w:r>
        <w:t>. Ademais, de 2005 para 2014 a indústria gaúcha teve 80,2% de crescimento do número de empresas com dispêndios contínuos em atividades internas de P&amp;D, acima da média nacional que foi de 54,9%</w:t>
      </w:r>
      <w:r w:rsidR="00DF1B94">
        <w:t>. Registre-se que</w:t>
      </w:r>
      <w:r>
        <w:t xml:space="preserve"> o ganho de participação de empresas industriais com dispêndios </w:t>
      </w:r>
      <w:proofErr w:type="gramStart"/>
      <w:r>
        <w:t>contínuos relativo</w:t>
      </w:r>
      <w:proofErr w:type="gramEnd"/>
      <w:r>
        <w:t xml:space="preserve"> ao total que realizou gastos em P&amp;D interno de 2011 para </w:t>
      </w:r>
      <w:r w:rsidR="00026973">
        <w:t>2014 no Rio Grande do Sul, assim</w:t>
      </w:r>
      <w:r>
        <w:t xml:space="preserve"> como a estabilidade desta fração no Brasil, mesmo em u</w:t>
      </w:r>
      <w:r w:rsidR="00A27BCD">
        <w:t xml:space="preserve">ma conjuntura de </w:t>
      </w:r>
      <w:r w:rsidR="00A27BCD" w:rsidRPr="00A27BCD">
        <w:rPr>
          <w:highlight w:val="green"/>
        </w:rPr>
        <w:t>desaceleração industrial</w:t>
      </w:r>
      <w:r w:rsidR="00687045">
        <w:t xml:space="preserve"> desde 2013</w:t>
      </w:r>
      <w: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05"/>
        <w:gridCol w:w="568"/>
        <w:gridCol w:w="644"/>
        <w:gridCol w:w="568"/>
        <w:gridCol w:w="648"/>
        <w:gridCol w:w="627"/>
        <w:gridCol w:w="568"/>
        <w:gridCol w:w="665"/>
        <w:gridCol w:w="754"/>
        <w:gridCol w:w="538"/>
        <w:gridCol w:w="568"/>
        <w:gridCol w:w="592"/>
        <w:gridCol w:w="568"/>
        <w:gridCol w:w="668"/>
      </w:tblGrid>
      <w:tr w:rsidR="009E1437" w:rsidRPr="00AF3982" w14:paraId="4F90046D" w14:textId="77777777" w:rsidTr="00156C90">
        <w:trPr>
          <w:trHeight w:val="77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CA5C2" w14:textId="6E912061" w:rsidR="009E1437" w:rsidRPr="00AF3982" w:rsidRDefault="00B9544E" w:rsidP="00946FD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Tabela 8</w:t>
            </w:r>
            <w:r w:rsidR="009E1437" w:rsidRPr="00AF398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: Número de empresas industriais que inovaram com dispêndios em P&amp;D Interno </w:t>
            </w:r>
            <w:r w:rsidR="00946FDE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– </w:t>
            </w:r>
            <w:proofErr w:type="gramStart"/>
            <w:r w:rsidR="00946FDE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total (T) e contínuos (C) – </w:t>
            </w:r>
            <w:r w:rsidR="009E1437" w:rsidRPr="00AF398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nos Estados industrializados do Brasil</w:t>
            </w:r>
            <w:proofErr w:type="gramEnd"/>
            <w:r w:rsidR="009E1437" w:rsidRPr="00AF3982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</w:rPr>
              <w:t>: 2005-2014</w:t>
            </w:r>
          </w:p>
        </w:tc>
      </w:tr>
      <w:tr w:rsidR="009E1437" w:rsidRPr="00AF3982" w14:paraId="7094AE10" w14:textId="77777777" w:rsidTr="00156C90">
        <w:trPr>
          <w:trHeight w:val="67"/>
        </w:trPr>
        <w:tc>
          <w:tcPr>
            <w:tcW w:w="7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BAA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Unidade da Federação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3E94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2005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8C9E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2008</w:t>
            </w:r>
          </w:p>
        </w:tc>
        <w:tc>
          <w:tcPr>
            <w:tcW w:w="105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70BA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2011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998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2014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7C88B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Var. C 05/14 - %</w:t>
            </w:r>
          </w:p>
        </w:tc>
      </w:tr>
      <w:tr w:rsidR="009E1437" w:rsidRPr="00AF3982" w14:paraId="556328BC" w14:textId="77777777" w:rsidTr="00156C90">
        <w:trPr>
          <w:trHeight w:val="67"/>
        </w:trPr>
        <w:tc>
          <w:tcPr>
            <w:tcW w:w="7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8BC2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C535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FD7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F7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- (C/T)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5B6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2C9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C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2D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- (C/T)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C720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89E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07D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- (C/T)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34B7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2746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C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C3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% - (C/T)</w:t>
            </w:r>
          </w:p>
        </w:tc>
        <w:tc>
          <w:tcPr>
            <w:tcW w:w="36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D3049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</w:p>
        </w:tc>
      </w:tr>
      <w:tr w:rsidR="009E1437" w:rsidRPr="00AF3982" w14:paraId="6C0C86DD" w14:textId="77777777" w:rsidTr="00156C90">
        <w:trPr>
          <w:trHeight w:val="6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A04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Brasil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8D8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5.046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3D5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2.769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F2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54,9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28F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4.268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F8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3.019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282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70,7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4C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5.876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4DF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4.291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C3D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73,0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F72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5.914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CB3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4.289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E9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72,5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38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54,9</w:t>
            </w:r>
          </w:p>
        </w:tc>
      </w:tr>
      <w:tr w:rsidR="009E1437" w:rsidRPr="00AF3982" w14:paraId="2B3296D5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5AB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-Minas Gerais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14D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BFF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173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F9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50,3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FD2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483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238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26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63,2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EC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691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72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A6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65,1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DC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421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92E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8E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82,9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CC8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101,7</w:t>
            </w:r>
          </w:p>
        </w:tc>
      </w:tr>
      <w:tr w:rsidR="009E1437" w:rsidRPr="00AF3982" w14:paraId="568BBC26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9AB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-Rio G. do Sul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591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F2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404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68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72,0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69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0E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E3C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68,5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762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853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1C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6B4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72,8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05D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888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208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DF3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82,0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49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80,2</w:t>
            </w:r>
          </w:p>
        </w:tc>
      </w:tr>
      <w:tr w:rsidR="009E1437" w:rsidRPr="00AF3982" w14:paraId="7176336F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D1B9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-Rio de Janeiro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90D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010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9C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41,1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495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298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FF0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204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450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68,6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BC3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888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298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19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92,6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A52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244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C20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195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85F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79,9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A69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93,1</w:t>
            </w:r>
          </w:p>
        </w:tc>
      </w:tr>
      <w:tr w:rsidR="009E1437" w:rsidRPr="00AF3982" w14:paraId="142864BD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27F4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-São Paulo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49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2.570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E2E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1.393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2C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54,2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7CA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1.800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9CA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1.364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D2C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75,8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498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2.251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1F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1.662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E37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73,8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72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2.503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7C2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1.719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BE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68,7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9DE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23,4</w:t>
            </w:r>
          </w:p>
        </w:tc>
      </w:tr>
      <w:tr w:rsidR="009E1437" w:rsidRPr="00AF3982" w14:paraId="24C1034A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484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-Paraná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2C1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3A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247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B6F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51,0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4B7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336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D1A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17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66,3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F8F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442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9C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403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E50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91,2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4E8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585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7D1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25A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61,4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D5C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45,3</w:t>
            </w:r>
          </w:p>
        </w:tc>
      </w:tr>
      <w:tr w:rsidR="009E1437" w:rsidRPr="00AF3982" w14:paraId="29EF20DF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DE0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-Santa Catarina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6280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7DD9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D442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58,2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CD6F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CC8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40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70,2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DC1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497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079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330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41DC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66,5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77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460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5E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281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AC5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61,1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8A36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36,4</w:t>
            </w:r>
          </w:p>
        </w:tc>
      </w:tr>
      <w:tr w:rsidR="009E1437" w:rsidRPr="00AF3982" w14:paraId="68A72208" w14:textId="77777777" w:rsidTr="00156C90">
        <w:trPr>
          <w:trHeight w:val="77"/>
        </w:trPr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A07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-Outras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F3F2B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487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7192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245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B4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50,3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1AC93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605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5A5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399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A3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266E4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225C7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527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AF8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64,3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BADFE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813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EE86D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658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0E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80,9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80511" w14:textId="77777777" w:rsidR="009E1437" w:rsidRPr="00AF3982" w:rsidRDefault="009E1437" w:rsidP="00AF398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color w:val="000000"/>
                <w:spacing w:val="-10"/>
                <w:sz w:val="16"/>
                <w:szCs w:val="16"/>
              </w:rPr>
              <w:t>168,6</w:t>
            </w:r>
          </w:p>
        </w:tc>
      </w:tr>
      <w:tr w:rsidR="009E1437" w:rsidRPr="00AF3982" w14:paraId="77B4F8A1" w14:textId="77777777" w:rsidTr="00156C90">
        <w:trPr>
          <w:trHeight w:val="67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A56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Fonte: IBGE (2007, 2010, 2013, 2016). Elaboração do autor.</w:t>
            </w:r>
          </w:p>
        </w:tc>
      </w:tr>
      <w:tr w:rsidR="009E1437" w:rsidRPr="00AF3982" w14:paraId="19004228" w14:textId="77777777" w:rsidTr="00156C90">
        <w:trPr>
          <w:trHeight w:val="77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2E33" w14:textId="77777777" w:rsidR="009E1437" w:rsidRPr="00AF3982" w:rsidRDefault="009E1437" w:rsidP="00AF398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Nota: Foram consideradas as empresas que </w:t>
            </w:r>
            <w:proofErr w:type="gramStart"/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implementaram</w:t>
            </w:r>
            <w:proofErr w:type="gramEnd"/>
            <w:r w:rsidRPr="00AF3982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produto e/ou processo novo ou substancialmente aprimorado.</w:t>
            </w:r>
          </w:p>
        </w:tc>
      </w:tr>
    </w:tbl>
    <w:p w14:paraId="39F6B41A" w14:textId="77777777" w:rsidR="009E1437" w:rsidRPr="00AF3982" w:rsidRDefault="009E1437" w:rsidP="00AF3982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5BB0469D" w14:textId="2F2C77A5" w:rsidR="00A7702B" w:rsidRDefault="009E1437" w:rsidP="00A7702B">
      <w:r>
        <w:tab/>
        <w:t>Com base no desempenho apresentado é lícito o entendimento, mesmo que em caráter de aproximação, de que houve uma ampliação quantitativa e qualitativa da infraestrutura própria à execução de P&amp;D interno nas empresas industriais do Rio Grande do Sul e do Brasil no período 2005-2014. Entretanto, saliente-se que mesmo com esse avanço, a fração de empresas industriais que realizam atividades internas de P&amp;D com continuidade para inovar ainda era relativamente pequena em 2014, tanto no Estado (18%) quanto no País (12,4%</w:t>
      </w:r>
      <w:proofErr w:type="gramStart"/>
      <w:r>
        <w:t>)</w:t>
      </w:r>
      <w:proofErr w:type="gramEnd"/>
      <w:r>
        <w:rPr>
          <w:rStyle w:val="Refdenotaderodap"/>
        </w:rPr>
        <w:footnoteReference w:id="19"/>
      </w:r>
      <w:r>
        <w:t xml:space="preserve">, em relação ao total daquelas que investiram em atividades </w:t>
      </w:r>
      <w:proofErr w:type="spellStart"/>
      <w:r>
        <w:t>inovativas</w:t>
      </w:r>
      <w:proofErr w:type="spellEnd"/>
      <w:r>
        <w:t>.</w:t>
      </w:r>
    </w:p>
    <w:p w14:paraId="20AEB64A" w14:textId="77777777" w:rsidR="00261389" w:rsidRPr="00A7702B" w:rsidRDefault="00261389" w:rsidP="00AF3982">
      <w:pPr>
        <w:spacing w:line="240" w:lineRule="auto"/>
        <w:ind w:firstLine="0"/>
        <w:rPr>
          <w:sz w:val="16"/>
          <w:szCs w:val="16"/>
        </w:rPr>
      </w:pPr>
    </w:p>
    <w:p w14:paraId="1AF3C77F" w14:textId="4E324135" w:rsidR="00D2171A" w:rsidRDefault="00956DDC" w:rsidP="00AF3982">
      <w:pPr>
        <w:spacing w:line="240" w:lineRule="auto"/>
        <w:ind w:firstLine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Gráfico </w:t>
      </w:r>
      <w:proofErr w:type="gramStart"/>
      <w:r>
        <w:rPr>
          <w:rFonts w:ascii="Arial" w:hAnsi="Arial" w:cs="Arial"/>
          <w:b/>
          <w:sz w:val="16"/>
          <w:szCs w:val="16"/>
        </w:rPr>
        <w:t>3</w:t>
      </w:r>
      <w:proofErr w:type="gramEnd"/>
      <w:r>
        <w:rPr>
          <w:rFonts w:ascii="Arial" w:hAnsi="Arial" w:cs="Arial"/>
          <w:b/>
          <w:sz w:val="16"/>
          <w:szCs w:val="16"/>
        </w:rPr>
        <w:t>: Participação</w:t>
      </w:r>
      <w:r w:rsidR="00D2171A" w:rsidRPr="00D2171A">
        <w:rPr>
          <w:rFonts w:ascii="Arial" w:hAnsi="Arial" w:cs="Arial"/>
          <w:b/>
          <w:sz w:val="16"/>
          <w:szCs w:val="16"/>
        </w:rPr>
        <w:t xml:space="preserve"> de empresas industriais inovadoras com dispêndios </w:t>
      </w:r>
      <w:r w:rsidR="00EB6EB1">
        <w:rPr>
          <w:rFonts w:ascii="Arial" w:hAnsi="Arial" w:cs="Arial"/>
          <w:b/>
          <w:sz w:val="16"/>
          <w:szCs w:val="16"/>
        </w:rPr>
        <w:t xml:space="preserve">contínuos </w:t>
      </w:r>
      <w:r w:rsidR="00D2171A" w:rsidRPr="00D2171A">
        <w:rPr>
          <w:rFonts w:ascii="Arial" w:hAnsi="Arial" w:cs="Arial"/>
          <w:b/>
          <w:sz w:val="16"/>
          <w:szCs w:val="16"/>
        </w:rPr>
        <w:t xml:space="preserve">em atividades internas de P&amp;D nos principais Estados industrializados </w:t>
      </w:r>
      <w:r w:rsidR="005A4303">
        <w:rPr>
          <w:rFonts w:ascii="Arial" w:hAnsi="Arial" w:cs="Arial"/>
          <w:b/>
          <w:sz w:val="16"/>
          <w:szCs w:val="16"/>
        </w:rPr>
        <w:t>do Brasil e países selecionados em</w:t>
      </w:r>
      <w:r w:rsidR="00D2171A" w:rsidRPr="00D2171A">
        <w:rPr>
          <w:rFonts w:ascii="Arial" w:hAnsi="Arial" w:cs="Arial"/>
          <w:b/>
          <w:sz w:val="16"/>
          <w:szCs w:val="16"/>
        </w:rPr>
        <w:t xml:space="preserve"> 2014</w:t>
      </w:r>
      <w:r w:rsidR="005A4303">
        <w:rPr>
          <w:rFonts w:ascii="Arial" w:hAnsi="Arial" w:cs="Arial"/>
          <w:b/>
          <w:sz w:val="16"/>
          <w:szCs w:val="16"/>
        </w:rPr>
        <w:t xml:space="preserve"> - %</w:t>
      </w:r>
    </w:p>
    <w:p w14:paraId="5B06253F" w14:textId="4E9801BA" w:rsidR="00D2171A" w:rsidRPr="00D2171A" w:rsidRDefault="00D2171A" w:rsidP="00AF3982">
      <w:pPr>
        <w:spacing w:line="240" w:lineRule="auto"/>
        <w:ind w:firstLine="0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lang w:eastAsia="pt-BR"/>
        </w:rPr>
        <w:drawing>
          <wp:inline distT="0" distB="0" distL="0" distR="0" wp14:anchorId="19258639" wp14:editId="3BF20434">
            <wp:extent cx="5486400" cy="3525960"/>
            <wp:effectExtent l="0" t="0" r="25400" b="304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5292D9" w14:textId="16B8F3A0" w:rsidR="00D2171A" w:rsidRPr="00E6288D" w:rsidRDefault="00D2171A" w:rsidP="00AF3982">
      <w:pPr>
        <w:spacing w:line="240" w:lineRule="auto"/>
        <w:ind w:firstLine="0"/>
        <w:rPr>
          <w:rFonts w:ascii="Arial" w:hAnsi="Arial"/>
          <w:sz w:val="16"/>
          <w:szCs w:val="16"/>
        </w:rPr>
      </w:pPr>
      <w:r w:rsidRPr="00E6288D">
        <w:rPr>
          <w:rFonts w:ascii="Arial" w:hAnsi="Arial"/>
          <w:sz w:val="16"/>
          <w:szCs w:val="16"/>
        </w:rPr>
        <w:t xml:space="preserve">Fonte: </w:t>
      </w:r>
      <w:proofErr w:type="gramStart"/>
      <w:r>
        <w:rPr>
          <w:rFonts w:ascii="Arial" w:hAnsi="Arial"/>
          <w:sz w:val="16"/>
          <w:szCs w:val="16"/>
        </w:rPr>
        <w:t>IBGE(</w:t>
      </w:r>
      <w:proofErr w:type="gramEnd"/>
      <w:r>
        <w:rPr>
          <w:rFonts w:ascii="Arial" w:hAnsi="Arial"/>
          <w:sz w:val="16"/>
          <w:szCs w:val="16"/>
        </w:rPr>
        <w:t xml:space="preserve"> </w:t>
      </w:r>
      <w:r w:rsidRPr="00E6288D">
        <w:rPr>
          <w:rFonts w:ascii="Arial" w:hAnsi="Arial"/>
          <w:sz w:val="16"/>
          <w:szCs w:val="16"/>
        </w:rPr>
        <w:t xml:space="preserve">2016) e </w:t>
      </w:r>
      <w:r>
        <w:rPr>
          <w:rFonts w:ascii="Arial" w:hAnsi="Arial"/>
          <w:sz w:val="16"/>
          <w:szCs w:val="16"/>
        </w:rPr>
        <w:t>EUROSTAT</w:t>
      </w:r>
      <w:r w:rsidRPr="00E6288D">
        <w:rPr>
          <w:rFonts w:ascii="Arial" w:hAnsi="Arial"/>
          <w:sz w:val="16"/>
          <w:szCs w:val="16"/>
        </w:rPr>
        <w:t xml:space="preserve"> (2017). Elaboração do autor.</w:t>
      </w:r>
    </w:p>
    <w:p w14:paraId="6B520105" w14:textId="694E7752" w:rsidR="008278BB" w:rsidRPr="008B3E26" w:rsidRDefault="00D2171A" w:rsidP="008B3E26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r w:rsidRPr="0061246C">
        <w:rPr>
          <w:rFonts w:ascii="Arial" w:hAnsi="Arial" w:cs="Arial"/>
          <w:sz w:val="16"/>
          <w:szCs w:val="16"/>
        </w:rPr>
        <w:t xml:space="preserve">Nota: </w:t>
      </w:r>
      <w:r w:rsidR="0061246C" w:rsidRPr="0061246C">
        <w:rPr>
          <w:rFonts w:ascii="Arial" w:hAnsi="Arial" w:cs="Arial"/>
          <w:sz w:val="16"/>
          <w:szCs w:val="16"/>
        </w:rPr>
        <w:t>F</w:t>
      </w:r>
      <w:r w:rsidR="00302EE3" w:rsidRPr="0061246C">
        <w:rPr>
          <w:rFonts w:ascii="Arial" w:hAnsi="Arial" w:cs="Arial"/>
          <w:sz w:val="16"/>
          <w:szCs w:val="16"/>
        </w:rPr>
        <w:t xml:space="preserve">oram consideradas as empresas industriais que </w:t>
      </w:r>
      <w:proofErr w:type="gramStart"/>
      <w:r w:rsidR="00302EE3" w:rsidRPr="0061246C">
        <w:rPr>
          <w:rFonts w:ascii="Arial" w:hAnsi="Arial" w:cs="Arial"/>
          <w:sz w:val="16"/>
          <w:szCs w:val="16"/>
        </w:rPr>
        <w:t>implementaram</w:t>
      </w:r>
      <w:proofErr w:type="gramEnd"/>
      <w:r w:rsidR="00302EE3" w:rsidRPr="0061246C">
        <w:rPr>
          <w:rFonts w:ascii="Arial" w:hAnsi="Arial" w:cs="Arial"/>
          <w:sz w:val="16"/>
          <w:szCs w:val="16"/>
        </w:rPr>
        <w:t xml:space="preserve"> produto e/ou processo tecnologicamente novo ou substancialmente aprimorado, que desenvolveram projetos que foram abandonados ou ficaram incompletos, e que realizaram mudanças organizacionais. </w:t>
      </w:r>
      <w:r w:rsidR="00956DDC" w:rsidRPr="0061246C">
        <w:rPr>
          <w:rFonts w:ascii="Arial" w:eastAsia="Times New Roman" w:hAnsi="Arial" w:cs="Arial"/>
          <w:sz w:val="16"/>
          <w:szCs w:val="16"/>
        </w:rPr>
        <w:t>A participação foi calculada sobre o total de empresas que investiram em atividades de inovação.</w:t>
      </w:r>
    </w:p>
    <w:p w14:paraId="0244836C" w14:textId="77777777" w:rsidR="008B3E26" w:rsidRDefault="008B3E26" w:rsidP="00A7702B"/>
    <w:p w14:paraId="57F6AF02" w14:textId="27DF2E44" w:rsidR="00A7702B" w:rsidRDefault="00A7702B" w:rsidP="00A7702B">
      <w:r>
        <w:t xml:space="preserve">Quando comparadas internacionalmente, observa-se que a proporção de empresas industriais do Rio Grande do Sul e do Brasil que realizaram dispêndios em atividades de P&amp;D interno ainda se posicionavam em um patamar inferior ao demonstrado em países industrializados selecionados da Europa (Gráfico </w:t>
      </w:r>
      <w:proofErr w:type="gramStart"/>
      <w:r>
        <w:t>3</w:t>
      </w:r>
      <w:proofErr w:type="gramEnd"/>
      <w:r>
        <w:t>). Em geral, ambas as indústrias colocam-se junto àquelas nações que se consideram que também possuam sistemas de inovação em patamar intermediário de desenvolvimento, como a Polônia ou a Turquia, por exemplo.</w:t>
      </w:r>
    </w:p>
    <w:p w14:paraId="2B9DC9F0" w14:textId="451C8A24" w:rsidR="006E5CCD" w:rsidRDefault="006E5CCD" w:rsidP="00F550B2">
      <w:pPr>
        <w:pStyle w:val="Ttulo2"/>
      </w:pPr>
      <w:r>
        <w:t>Considerações Finais</w:t>
      </w:r>
    </w:p>
    <w:p w14:paraId="1C57E4DD" w14:textId="2605CC17" w:rsidR="00721032" w:rsidRDefault="00DB764F" w:rsidP="0061689B">
      <w:r>
        <w:tab/>
        <w:t>No período</w:t>
      </w:r>
      <w:r w:rsidR="001F65EB">
        <w:t xml:space="preserve"> 2005-2014, dentre os diversos fatores a condicionar o processo de evolução nas capacitações tecnológicas das empresas </w:t>
      </w:r>
      <w:r w:rsidR="009A3FC7" w:rsidRPr="009A3FC7">
        <w:rPr>
          <w:highlight w:val="green"/>
        </w:rPr>
        <w:t>com dez ou mais empregados</w:t>
      </w:r>
      <w:r w:rsidR="009A3FC7">
        <w:t xml:space="preserve"> </w:t>
      </w:r>
      <w:r w:rsidR="001F65EB">
        <w:t>da indústria do R</w:t>
      </w:r>
      <w:r w:rsidR="0069755A">
        <w:t>io Grande do Sul</w:t>
      </w:r>
      <w:r w:rsidR="001F65EB">
        <w:t>, se entende que existam dois vetores principais. De um lado, de</w:t>
      </w:r>
      <w:r w:rsidR="006A45D0">
        <w:t>sde 2003</w:t>
      </w:r>
      <w:r w:rsidR="001F65EB">
        <w:t xml:space="preserve"> houve no Brasil a implantação e ampliação das políticas de ciência, tecnologia e industriais, assim como melhora qualitativa nesses </w:t>
      </w:r>
      <w:r w:rsidR="001F65EB" w:rsidRPr="006F2BF6">
        <w:t xml:space="preserve">instrumentos, tanto em cunho estadual quanto federal. </w:t>
      </w:r>
      <w:r w:rsidR="006820D3" w:rsidRPr="006F2BF6">
        <w:t>De outro lado, o</w:t>
      </w:r>
      <w:r w:rsidR="006A45D0" w:rsidRPr="006F2BF6">
        <w:t xml:space="preserve"> período 2005-2014 apresentou </w:t>
      </w:r>
      <w:r w:rsidR="00FA3BB4" w:rsidRPr="006F2BF6">
        <w:t xml:space="preserve">alguns </w:t>
      </w:r>
      <w:r w:rsidR="006A45D0" w:rsidRPr="006F2BF6">
        <w:t>momentos de forte turbulência e incertezas</w:t>
      </w:r>
      <w:r w:rsidR="006A45D0">
        <w:t xml:space="preserve">, que influenciaram </w:t>
      </w:r>
      <w:r w:rsidR="00441979">
        <w:t xml:space="preserve">negativamente </w:t>
      </w:r>
      <w:r w:rsidR="006A45D0">
        <w:t xml:space="preserve">as decisões empresariais de investimentos, inclusive, nos dispêndios em atividades de inovação. </w:t>
      </w:r>
      <w:r w:rsidR="007A2983">
        <w:t>Nesse contexto, o que se observa</w:t>
      </w:r>
      <w:r w:rsidR="006A45D0">
        <w:t xml:space="preserve"> no âmbito da evoluçã</w:t>
      </w:r>
      <w:r w:rsidR="00694E74">
        <w:t>o d</w:t>
      </w:r>
      <w:r w:rsidR="006A45D0">
        <w:t>as capacitações tecnológicas das empresas</w:t>
      </w:r>
      <w:r w:rsidR="00BD41CC">
        <w:t xml:space="preserve"> na média da </w:t>
      </w:r>
      <w:r w:rsidR="00BD41CC">
        <w:lastRenderedPageBreak/>
        <w:t>indústria do Rio Grande do Sul</w:t>
      </w:r>
      <w:r w:rsidR="006A45D0">
        <w:t xml:space="preserve"> </w:t>
      </w:r>
      <w:r w:rsidR="009B7B39">
        <w:t xml:space="preserve">e do Brasil </w:t>
      </w:r>
      <w:r w:rsidR="006A45D0">
        <w:t>foi que</w:t>
      </w:r>
      <w:r w:rsidR="00870E6C">
        <w:t>, em geral,</w:t>
      </w:r>
      <w:r w:rsidR="006A45D0">
        <w:t xml:space="preserve"> esse saldo</w:t>
      </w:r>
      <w:r w:rsidR="001F65EB">
        <w:t xml:space="preserve"> </w:t>
      </w:r>
      <w:r w:rsidR="006A45D0">
        <w:t>pode ser considerado positivo</w:t>
      </w:r>
      <w:r w:rsidR="00BD41CC">
        <w:t xml:space="preserve"> nas três dimensões consideradas: </w:t>
      </w:r>
      <w:r w:rsidR="001E010A">
        <w:t>recursos financeiros,</w:t>
      </w:r>
      <w:r w:rsidR="006507F3">
        <w:t xml:space="preserve"> recursos humanos ocupados</w:t>
      </w:r>
      <w:r w:rsidR="003C0446">
        <w:t xml:space="preserve"> em P&amp;D</w:t>
      </w:r>
      <w:r w:rsidR="001E010A">
        <w:t xml:space="preserve"> e infraestrutura tecnológica</w:t>
      </w:r>
      <w:r w:rsidR="00FD1222">
        <w:t>.</w:t>
      </w:r>
      <w:r w:rsidR="00B03793">
        <w:t xml:space="preserve"> </w:t>
      </w:r>
      <w:r w:rsidR="00CB69F0">
        <w:t xml:space="preserve">Inclusive, entende-se que </w:t>
      </w:r>
      <w:r w:rsidR="000252EC">
        <w:t>o ganho de capacitações s</w:t>
      </w:r>
      <w:r w:rsidR="00CB69F0">
        <w:t xml:space="preserve">eja um dos fatores a contribuir para a </w:t>
      </w:r>
      <w:r w:rsidR="00FD1977">
        <w:t>manutenção da taxa</w:t>
      </w:r>
      <w:r w:rsidR="00CB69F0">
        <w:t xml:space="preserve"> de empresas inovadoras</w:t>
      </w:r>
      <w:r w:rsidR="007805C8">
        <w:rPr>
          <w:rStyle w:val="Refdenotaderodap"/>
        </w:rPr>
        <w:footnoteReference w:id="20"/>
      </w:r>
      <w:r w:rsidR="00CB69F0">
        <w:t xml:space="preserve"> </w:t>
      </w:r>
      <w:r w:rsidR="006E7D27">
        <w:t xml:space="preserve">no período 2012-2014 </w:t>
      </w:r>
      <w:r w:rsidR="00CB69F0">
        <w:t xml:space="preserve">no Estado </w:t>
      </w:r>
      <w:r w:rsidR="006E7D27">
        <w:t xml:space="preserve">(41,7%) </w:t>
      </w:r>
      <w:r w:rsidR="00CB69F0">
        <w:t>e no Brasil</w:t>
      </w:r>
      <w:r w:rsidR="006E7D27">
        <w:t xml:space="preserve"> (36,4%),</w:t>
      </w:r>
      <w:r w:rsidR="00FD1977">
        <w:t xml:space="preserve"> acima do patamar de </w:t>
      </w:r>
      <w:r w:rsidR="00EE4A82">
        <w:t>2003-</w:t>
      </w:r>
      <w:r w:rsidR="00FD1977">
        <w:t>2005</w:t>
      </w:r>
      <w:r w:rsidR="006E7D27">
        <w:t>, respectivamente de 42,2% e de 35,6%.</w:t>
      </w:r>
      <w:r w:rsidR="007805C8">
        <w:t xml:space="preserve"> </w:t>
      </w:r>
      <w:r w:rsidR="006E7D27">
        <w:t>Ademais, em ambos os casos essas taxas exibiram</w:t>
      </w:r>
      <w:r w:rsidR="007A2983">
        <w:t xml:space="preserve"> relativa estabilidade nos dois últimos triênios, </w:t>
      </w:r>
      <w:r w:rsidR="00E704EB">
        <w:t xml:space="preserve">mesmo com a ocorrência de </w:t>
      </w:r>
      <w:r w:rsidR="00E704EB" w:rsidRPr="00E704EB">
        <w:rPr>
          <w:highlight w:val="green"/>
        </w:rPr>
        <w:t>dificuldades</w:t>
      </w:r>
      <w:r w:rsidR="007A2983">
        <w:t xml:space="preserve"> econômicas</w:t>
      </w:r>
      <w:r w:rsidR="00CB69F0" w:rsidRPr="00A33675">
        <w:t>.</w:t>
      </w:r>
      <w:r w:rsidR="00107139" w:rsidRPr="00A33675">
        <w:t xml:space="preserve">  </w:t>
      </w:r>
      <w:r w:rsidR="00ED1E00" w:rsidRPr="00A33675">
        <w:t xml:space="preserve">Contudo, </w:t>
      </w:r>
      <w:proofErr w:type="gramStart"/>
      <w:r w:rsidR="00ED1E00" w:rsidRPr="00A33675">
        <w:t>convém</w:t>
      </w:r>
      <w:proofErr w:type="gramEnd"/>
      <w:r w:rsidR="00ED1E00" w:rsidRPr="00A33675">
        <w:t xml:space="preserve"> apontar que, em 2012-2014,</w:t>
      </w:r>
      <w:r w:rsidR="009F721E" w:rsidRPr="00A33675">
        <w:t xml:space="preserve"> o</w:t>
      </w:r>
      <w:r w:rsidR="00ED1E00" w:rsidRPr="00A33675">
        <w:t xml:space="preserve"> desempenho </w:t>
      </w:r>
      <w:r w:rsidR="009F721E" w:rsidRPr="00A33675">
        <w:t xml:space="preserve">na taxa de inovação das empresas industriais gaúchas e brasileira ainda </w:t>
      </w:r>
      <w:r w:rsidR="00ED1E00" w:rsidRPr="00A33675">
        <w:t xml:space="preserve">foi inferior </w:t>
      </w:r>
      <w:r w:rsidR="00861AEE" w:rsidRPr="00A33675">
        <w:t>ao apresentado por</w:t>
      </w:r>
      <w:r w:rsidR="009F721E" w:rsidRPr="00A33675">
        <w:t xml:space="preserve"> nações de maior nível</w:t>
      </w:r>
      <w:r w:rsidR="009F721E">
        <w:t xml:space="preserve"> de industrialização</w:t>
      </w:r>
      <w:r w:rsidR="00510AF6">
        <w:t>, algumas</w:t>
      </w:r>
      <w:r w:rsidR="00B44771">
        <w:t xml:space="preserve"> delas acima de 50%</w:t>
      </w:r>
      <w:r w:rsidR="00B44771">
        <w:rPr>
          <w:rStyle w:val="Refdenotaderodap"/>
        </w:rPr>
        <w:footnoteReference w:id="21"/>
      </w:r>
      <w:r w:rsidR="009F721E">
        <w:t>.</w:t>
      </w:r>
    </w:p>
    <w:p w14:paraId="5A167A1E" w14:textId="481CD72B" w:rsidR="00FD1222" w:rsidRDefault="00207875" w:rsidP="00186567">
      <w:r>
        <w:t>Na dimensão dos dispêndios em atividad</w:t>
      </w:r>
      <w:r w:rsidR="00357ADC">
        <w:t xml:space="preserve">es </w:t>
      </w:r>
      <w:r w:rsidR="008A6DD2">
        <w:t>de inovação</w:t>
      </w:r>
      <w:r w:rsidR="00F733F5">
        <w:t xml:space="preserve">, </w:t>
      </w:r>
      <w:r w:rsidR="00357ADC">
        <w:t>observou</w:t>
      </w:r>
      <w:r w:rsidR="00F733F5">
        <w:t>-se</w:t>
      </w:r>
      <w:r w:rsidR="00357ADC">
        <w:t xml:space="preserve"> ganhos em termos do total de recursos investidos e n</w:t>
      </w:r>
      <w:r w:rsidR="00F733F5">
        <w:t>o aspecto qualitativo, referente ao perfil</w:t>
      </w:r>
      <w:r w:rsidR="00357ADC">
        <w:t xml:space="preserve"> das atividades financiadas. Houve um maior aumento </w:t>
      </w:r>
      <w:r w:rsidR="007F08BB">
        <w:t xml:space="preserve">relativo </w:t>
      </w:r>
      <w:r w:rsidR="00357ADC">
        <w:t xml:space="preserve">dos gastos em atividades internas de P&amp;D e na aquisição externa de P&amp;D, em detrimento das formas passivas de aprendizado e </w:t>
      </w:r>
      <w:r w:rsidR="001F68BC">
        <w:t xml:space="preserve">de </w:t>
      </w:r>
      <w:r w:rsidR="00357ADC">
        <w:t>assimilação de novas tecnologias</w:t>
      </w:r>
      <w:r w:rsidR="00253FC2">
        <w:t>, ainda</w:t>
      </w:r>
      <w:r w:rsidR="001F68BC">
        <w:t xml:space="preserve"> que</w:t>
      </w:r>
      <w:r w:rsidR="00253FC2">
        <w:t xml:space="preserve"> as últimas</w:t>
      </w:r>
      <w:r w:rsidR="001F68BC">
        <w:t xml:space="preserve"> continuem predominantes</w:t>
      </w:r>
      <w:r w:rsidR="00357ADC">
        <w:t xml:space="preserve">. </w:t>
      </w:r>
      <w:r w:rsidR="00186567">
        <w:t xml:space="preserve">Inclusive, esse é um processo que também se observa no agregado da indústria brasileira, porém, com maior intensidade no Rio Grande do Sul. Com isso, </w:t>
      </w:r>
      <w:r w:rsidR="00EA132B">
        <w:t xml:space="preserve">ainda que se encontre abaixo, </w:t>
      </w:r>
      <w:r w:rsidR="00186567">
        <w:t xml:space="preserve">a proporção dos gastos em P&amp;D interno em relação ao total das atividades </w:t>
      </w:r>
      <w:r w:rsidR="00D46492">
        <w:t>de inovação</w:t>
      </w:r>
      <w:r w:rsidR="00EA132B">
        <w:t xml:space="preserve"> na indústria gaúcha se aproximou da média nacional</w:t>
      </w:r>
      <w:r w:rsidR="00186567">
        <w:t>.</w:t>
      </w:r>
    </w:p>
    <w:p w14:paraId="1C8FCC2D" w14:textId="10867F2A" w:rsidR="00750FBB" w:rsidRDefault="00AE46CF" w:rsidP="00A9111C">
      <w:r>
        <w:t>E</w:t>
      </w:r>
      <w:r w:rsidR="00070B07">
        <w:t xml:space="preserve">ntende-se </w:t>
      </w:r>
      <w:r w:rsidR="008C15C9">
        <w:t xml:space="preserve">também </w:t>
      </w:r>
      <w:r w:rsidR="00070B07">
        <w:t>que n</w:t>
      </w:r>
      <w:r w:rsidR="002F4660">
        <w:t>o pe</w:t>
      </w:r>
      <w:r w:rsidR="00502CE3">
        <w:t>ríodo 2005-2014 tenha ocorrido</w:t>
      </w:r>
      <w:r w:rsidR="008D534A">
        <w:t xml:space="preserve"> algum</w:t>
      </w:r>
      <w:r w:rsidR="00070B07">
        <w:t xml:space="preserve"> ganho de capacitações </w:t>
      </w:r>
      <w:r w:rsidR="00E66729">
        <w:t xml:space="preserve">tecnológicas </w:t>
      </w:r>
      <w:r w:rsidR="00070B07">
        <w:t xml:space="preserve">em recursos humanos </w:t>
      </w:r>
      <w:r w:rsidR="00E66729">
        <w:t xml:space="preserve">alocados </w:t>
      </w:r>
      <w:r w:rsidR="00070B07">
        <w:t>em P&amp;D na</w:t>
      </w:r>
      <w:r w:rsidR="00E66729">
        <w:t>s empresas industriais do Rio Grande do Sul e do Brasil.</w:t>
      </w:r>
      <w:r w:rsidR="00070B07">
        <w:t xml:space="preserve"> </w:t>
      </w:r>
      <w:r w:rsidR="00C2529B">
        <w:t>Esse progresso</w:t>
      </w:r>
      <w:r w:rsidR="00BA4403">
        <w:t xml:space="preserve"> refere-se mai</w:t>
      </w:r>
      <w:r w:rsidR="00D756A9">
        <w:t xml:space="preserve">s ao aspecto quantitativo, pelo </w:t>
      </w:r>
      <w:r w:rsidR="00BA4403">
        <w:t xml:space="preserve">crescimento </w:t>
      </w:r>
      <w:r w:rsidR="00C2529B">
        <w:t>absoluto</w:t>
      </w:r>
      <w:r w:rsidR="00BA4403">
        <w:t xml:space="preserve"> d</w:t>
      </w:r>
      <w:r w:rsidR="00070B07">
        <w:t>o número de profissionais pós-graduados</w:t>
      </w:r>
      <w:r w:rsidR="00D756A9">
        <w:t xml:space="preserve"> e d</w:t>
      </w:r>
      <w:r w:rsidR="00070B07">
        <w:t>o total de empregados em regime de dedicação exclusiva</w:t>
      </w:r>
      <w:r w:rsidR="009377C7">
        <w:t xml:space="preserve"> em P&amp;D,</w:t>
      </w:r>
      <w:r w:rsidR="00EF64FD">
        <w:t xml:space="preserve"> sendo </w:t>
      </w:r>
      <w:r w:rsidR="009377C7">
        <w:t xml:space="preserve">este processo comparativamente </w:t>
      </w:r>
      <w:r w:rsidR="00EF64FD">
        <w:t>mais intenso no Estado do que no País</w:t>
      </w:r>
      <w:r w:rsidR="00070B07">
        <w:t xml:space="preserve">. </w:t>
      </w:r>
      <w:r w:rsidR="007B14F6" w:rsidRPr="00803FA4">
        <w:t>N</w:t>
      </w:r>
      <w:r w:rsidR="00BA4403" w:rsidRPr="00803FA4">
        <w:t xml:space="preserve">a dimensão qualitativa </w:t>
      </w:r>
      <w:r w:rsidR="00221B02" w:rsidRPr="00803FA4">
        <w:t>d</w:t>
      </w:r>
      <w:r w:rsidR="00BA4403" w:rsidRPr="00803FA4">
        <w:t>as capacitações em recursos humanos</w:t>
      </w:r>
      <w:r w:rsidR="005E63D0" w:rsidRPr="00803FA4">
        <w:t xml:space="preserve"> em P&amp;D</w:t>
      </w:r>
      <w:r w:rsidR="007B14F6" w:rsidRPr="00803FA4">
        <w:t>,</w:t>
      </w:r>
      <w:r w:rsidR="00BA4403" w:rsidRPr="00803FA4">
        <w:t xml:space="preserve"> </w:t>
      </w:r>
      <w:r w:rsidR="00221B02" w:rsidRPr="00803FA4">
        <w:t xml:space="preserve">se </w:t>
      </w:r>
      <w:proofErr w:type="gramStart"/>
      <w:r w:rsidR="00221B02" w:rsidRPr="00803FA4">
        <w:t>pode</w:t>
      </w:r>
      <w:proofErr w:type="gramEnd"/>
      <w:r w:rsidR="007B14F6" w:rsidRPr="00803FA4">
        <w:t xml:space="preserve"> considerar que </w:t>
      </w:r>
      <w:r w:rsidR="005E63D0" w:rsidRPr="00803FA4">
        <w:t xml:space="preserve">estas </w:t>
      </w:r>
      <w:r w:rsidR="00BA4403" w:rsidRPr="00803FA4">
        <w:t>tenha ocorrido em</w:t>
      </w:r>
      <w:r w:rsidR="005E63D0" w:rsidRPr="00803FA4">
        <w:t xml:space="preserve"> menor intensidade, pois houve diminuição da participação de profissionais pós-graduados</w:t>
      </w:r>
      <w:r w:rsidR="005A489D">
        <w:t xml:space="preserve"> e graduados</w:t>
      </w:r>
      <w:r w:rsidR="005E63D0" w:rsidRPr="00803FA4">
        <w:t xml:space="preserve"> e daqueles em regime de dedicação exclusiva</w:t>
      </w:r>
      <w:r w:rsidR="003A0851" w:rsidRPr="00803FA4">
        <w:t xml:space="preserve"> na indústria gaúcha</w:t>
      </w:r>
      <w:r w:rsidR="002C281B" w:rsidRPr="00803FA4">
        <w:t xml:space="preserve"> e na brasileira</w:t>
      </w:r>
      <w:r w:rsidR="005E63D0" w:rsidRPr="00803FA4">
        <w:t>.</w:t>
      </w:r>
      <w:r w:rsidR="006603A1" w:rsidRPr="00803FA4">
        <w:t xml:space="preserve"> </w:t>
      </w:r>
      <w:r w:rsidR="004B6CD3" w:rsidRPr="00803FA4">
        <w:t>Em outras palavras</w:t>
      </w:r>
      <w:r w:rsidR="00CB4526" w:rsidRPr="00803FA4">
        <w:t xml:space="preserve">, o crescimento </w:t>
      </w:r>
      <w:r w:rsidR="004B6CD3" w:rsidRPr="00803FA4">
        <w:t xml:space="preserve">absoluto </w:t>
      </w:r>
      <w:r w:rsidR="004B0F5F" w:rsidRPr="00803FA4">
        <w:t xml:space="preserve">dos recursos humanos em P&amp;D </w:t>
      </w:r>
      <w:r w:rsidR="00CB4526" w:rsidRPr="00803FA4">
        <w:t xml:space="preserve">ocorreu com predomínio de pessoal </w:t>
      </w:r>
      <w:r w:rsidR="00FB2080" w:rsidRPr="00803FA4">
        <w:t>com qualificação relativamente mais baixa</w:t>
      </w:r>
      <w:r w:rsidR="00CB4526" w:rsidRPr="00803FA4">
        <w:t xml:space="preserve">. </w:t>
      </w:r>
      <w:r w:rsidR="005A489D">
        <w:t xml:space="preserve">Ressalve-se que, quando restringido os recursos </w:t>
      </w:r>
      <w:r w:rsidR="005A489D">
        <w:lastRenderedPageBreak/>
        <w:t>humanos aos pesquisadores, houve crescimento da participação de pós-graduados, mas com redução no de graduados. Ademais, e</w:t>
      </w:r>
      <w:r w:rsidR="006603A1" w:rsidRPr="00803FA4">
        <w:t xml:space="preserve">m 2014, </w:t>
      </w:r>
      <w:r w:rsidR="00B27123" w:rsidRPr="00803FA4">
        <w:t>ainda que com ampliação em relação a 2011</w:t>
      </w:r>
      <w:r w:rsidR="00B27123">
        <w:t xml:space="preserve">, </w:t>
      </w:r>
      <w:r w:rsidR="006603A1">
        <w:t>a proporção de pós-graduados frente ao total ocupad</w:t>
      </w:r>
      <w:r w:rsidR="00821D2D">
        <w:t xml:space="preserve">o em P&amp;D na indústria do Rio Grande do Sul </w:t>
      </w:r>
      <w:r w:rsidR="00551056">
        <w:t xml:space="preserve">ainda </w:t>
      </w:r>
      <w:r w:rsidR="006603A1">
        <w:t>se most</w:t>
      </w:r>
      <w:r w:rsidR="00821D2D">
        <w:t>rava inferior à média nacional.</w:t>
      </w:r>
      <w:r w:rsidR="002C281B">
        <w:t xml:space="preserve"> </w:t>
      </w:r>
      <w:r w:rsidR="00973B81">
        <w:t xml:space="preserve">Nesse sentido é lícito o entendimento </w:t>
      </w:r>
      <w:r w:rsidR="001847B0">
        <w:t xml:space="preserve">de </w:t>
      </w:r>
      <w:r w:rsidR="00973B81">
        <w:t xml:space="preserve">que </w:t>
      </w:r>
      <w:r w:rsidR="001847B0">
        <w:t xml:space="preserve">o aspecto qualitativo das capacitações em recursos humanos na indústria do Rio Grande do Sul, em termos </w:t>
      </w:r>
      <w:r w:rsidR="00D31005">
        <w:t>da fração de pesquisadores pós-graduados</w:t>
      </w:r>
      <w:r w:rsidR="00245DC2">
        <w:t xml:space="preserve"> no total ocupado em atividades de P&amp;D</w:t>
      </w:r>
      <w:r w:rsidR="002C281B">
        <w:t>, inclusive com dedicação exclusiva,</w:t>
      </w:r>
      <w:r w:rsidR="00D31005">
        <w:t xml:space="preserve"> seja o seu ponto relativamente mais frágil.</w:t>
      </w:r>
    </w:p>
    <w:p w14:paraId="1FEECA66" w14:textId="373BCCA6" w:rsidR="00A13F56" w:rsidRPr="00443E78" w:rsidRDefault="00A13F56" w:rsidP="00A13F56">
      <w:r>
        <w:t xml:space="preserve">No que tange á infraestrutura tecnológica às atividades de P&amp;D, o ganho de capacitação na indústria gaúcha no intervalo 2005-2014 se deu em termos quantitativos e qualitativos. Cresceu o número de empresas industriais que realizaram dispêndios em P&amp;D interno para </w:t>
      </w:r>
      <w:proofErr w:type="gramStart"/>
      <w:r>
        <w:t>implementar</w:t>
      </w:r>
      <w:proofErr w:type="gramEnd"/>
      <w:r>
        <w:t xml:space="preserve"> inovações, porém com perda de participação frente ao total das que investiram recursos em atividades </w:t>
      </w:r>
      <w:proofErr w:type="spellStart"/>
      <w:r>
        <w:t>inovativas</w:t>
      </w:r>
      <w:proofErr w:type="spellEnd"/>
      <w:r>
        <w:t xml:space="preserve">. Por outro lado, dentre as empresas da indústria que efetuaram gastos em P&amp;D interno para inovar, aumentou a fração das que o fizeram com continuidade. Comparativamente, a ampliação em capacitações em infraestrutura tecnológica na indústria do Rio Grande do Sul foi mais intensa do que na respectiva média nacional, distanciando-se da </w:t>
      </w:r>
      <w:r w:rsidRPr="00443E78">
        <w:t>mesma. Ainda assim, pode-se considerar relativamente baixa a proporção de empresas industriais que realizam P&amp;D internamente para inovar, inferior a 30% do total, tanto no Estado quanto no País</w:t>
      </w:r>
      <w:r w:rsidR="00443E78" w:rsidRPr="00443E78">
        <w:t>, quando comparado internacionalmente com países industrializados da Europa</w:t>
      </w:r>
      <w:r w:rsidRPr="00443E78">
        <w:t>.</w:t>
      </w:r>
    </w:p>
    <w:p w14:paraId="03FE129C" w14:textId="3FD5958F" w:rsidR="006E5CCD" w:rsidRDefault="003D4158" w:rsidP="00BD5F35">
      <w:r w:rsidRPr="00443E78">
        <w:t>Em conjunto, no período</w:t>
      </w:r>
      <w:r>
        <w:t xml:space="preserve"> 2005-2014 houve algum</w:t>
      </w:r>
      <w:r w:rsidR="00FB1C75">
        <w:t xml:space="preserve"> ganho de capacitação tecnológica na indústria do Rio Grande do Sul e do Brasil, nos três principais fatores relevantes ao desenvolvi</w:t>
      </w:r>
      <w:r w:rsidR="00A9111C">
        <w:t>mento ou absorção de inovações:</w:t>
      </w:r>
      <w:r w:rsidR="00FB1C75">
        <w:t xml:space="preserve"> investimentos, recursos humanos e infraestrutura </w:t>
      </w:r>
      <w:r w:rsidR="00AF7D89">
        <w:t xml:space="preserve">tecnológica </w:t>
      </w:r>
      <w:r w:rsidR="00FB1C75">
        <w:t>à P&amp;D</w:t>
      </w:r>
      <w:r w:rsidR="00A9111C">
        <w:t>.</w:t>
      </w:r>
      <w:r w:rsidR="00FB1C75">
        <w:t xml:space="preserve"> </w:t>
      </w:r>
      <w:r w:rsidR="003746E3">
        <w:t>Com isso, considera-se que esses</w:t>
      </w:r>
      <w:r w:rsidR="00AD21DF">
        <w:t xml:space="preserve"> sistema</w:t>
      </w:r>
      <w:r w:rsidR="003746E3">
        <w:t>s</w:t>
      </w:r>
      <w:r w:rsidR="00AD21DF">
        <w:t xml:space="preserve"> de inovação também tenha</w:t>
      </w:r>
      <w:r w:rsidR="005E3C7F">
        <w:t>m</w:t>
      </w:r>
      <w:r w:rsidR="00AD21DF">
        <w:t xml:space="preserve"> sido fortalecido</w:t>
      </w:r>
      <w:r w:rsidR="003746E3">
        <w:t>s</w:t>
      </w:r>
      <w:r w:rsidR="00A65B83">
        <w:t xml:space="preserve"> no intervalo 2005-2014</w:t>
      </w:r>
      <w:r w:rsidR="00AD21DF">
        <w:t xml:space="preserve">. </w:t>
      </w:r>
      <w:r w:rsidR="00786E58">
        <w:t xml:space="preserve">Nesse sentido, as políticas de ciência, tecnologia e inovação </w:t>
      </w:r>
      <w:proofErr w:type="gramStart"/>
      <w:r w:rsidR="00786E58">
        <w:t>implementadas</w:t>
      </w:r>
      <w:proofErr w:type="gramEnd"/>
      <w:r w:rsidR="00786E58">
        <w:t>, no agregado, aparentam estar gerando efeitos positivos.</w:t>
      </w:r>
      <w:r w:rsidR="008D11BF">
        <w:t xml:space="preserve"> </w:t>
      </w:r>
      <w:r w:rsidR="00AD21DF">
        <w:t xml:space="preserve">Ainda assim, é lícito considerar que o avanço experimentado </w:t>
      </w:r>
      <w:r w:rsidR="002B0020">
        <w:t xml:space="preserve">nas capacitações tecnológicas das empresas industriais gaúchas e brasileiras </w:t>
      </w:r>
      <w:r w:rsidR="00AD21DF">
        <w:t xml:space="preserve">seja baixo, devido a que em alguns indicadores ainda demonstrem </w:t>
      </w:r>
      <w:r w:rsidR="005E43D8">
        <w:t xml:space="preserve">terem </w:t>
      </w:r>
      <w:r w:rsidR="0018778A">
        <w:t>frações pequenas de participação</w:t>
      </w:r>
      <w:r w:rsidR="008D11BF">
        <w:t xml:space="preserve">, </w:t>
      </w:r>
      <w:r w:rsidR="008D11BF" w:rsidRPr="00385BDD">
        <w:t>como apontado</w:t>
      </w:r>
      <w:r w:rsidR="00056412">
        <w:t>, especialmente em recursos humanos em P&amp;D</w:t>
      </w:r>
      <w:r w:rsidR="00AF2947" w:rsidRPr="00385BDD">
        <w:t>.</w:t>
      </w:r>
      <w:r w:rsidR="008D11BF" w:rsidRPr="00385BDD">
        <w:t xml:space="preserve"> </w:t>
      </w:r>
      <w:r w:rsidR="000930DA" w:rsidRPr="00385BDD">
        <w:t>A</w:t>
      </w:r>
      <w:r w:rsidR="000420E4" w:rsidRPr="00385BDD">
        <w:t>inda que se po</w:t>
      </w:r>
      <w:r w:rsidR="004D665E" w:rsidRPr="00385BDD">
        <w:t xml:space="preserve">ssa considerar que </w:t>
      </w:r>
      <w:r w:rsidR="008835EA" w:rsidRPr="00385BDD">
        <w:t xml:space="preserve">no agregado </w:t>
      </w:r>
      <w:r w:rsidR="004D665E" w:rsidRPr="00385BDD">
        <w:t xml:space="preserve">a indústria </w:t>
      </w:r>
      <w:r w:rsidR="000420E4" w:rsidRPr="00385BDD">
        <w:t xml:space="preserve">do Rio Grande do Sul </w:t>
      </w:r>
      <w:r w:rsidR="00385BDD">
        <w:t xml:space="preserve">as empresas </w:t>
      </w:r>
      <w:r w:rsidR="007F0C28" w:rsidRPr="00385BDD">
        <w:t>tenha</w:t>
      </w:r>
      <w:r w:rsidR="00385BDD">
        <w:t>m</w:t>
      </w:r>
      <w:r w:rsidR="007F0C28" w:rsidRPr="00385BDD">
        <w:t xml:space="preserve"> boas</w:t>
      </w:r>
      <w:r w:rsidR="00CD472B" w:rsidRPr="00385BDD">
        <w:t xml:space="preserve"> </w:t>
      </w:r>
      <w:r w:rsidR="008835EA" w:rsidRPr="00385BDD">
        <w:t>cap</w:t>
      </w:r>
      <w:r w:rsidR="007F0C28" w:rsidRPr="00385BDD">
        <w:t>acitações tecnológicas para o padrão brasileiro</w:t>
      </w:r>
      <w:r w:rsidR="008835EA" w:rsidRPr="00385BDD">
        <w:t>, estas ainda estão bem aquém</w:t>
      </w:r>
      <w:r w:rsidR="008835EA">
        <w:t xml:space="preserve"> do observado nos países relativa</w:t>
      </w:r>
      <w:r w:rsidR="00BA31FA">
        <w:t xml:space="preserve">mente mais avançados. </w:t>
      </w:r>
      <w:r w:rsidR="00CB591A">
        <w:t>Logo</w:t>
      </w:r>
      <w:r w:rsidR="00787CB7">
        <w:t>, é lícito o entendimento de que o Rio Grande do Sul e o Brasil continuem apresentando um patamar intermediário de desenvolvimento de seus sistemas de inovação, conforme constatação já</w:t>
      </w:r>
      <w:r w:rsidR="000B74B4">
        <w:t xml:space="preserve"> assinalada</w:t>
      </w:r>
      <w:r w:rsidR="00787CB7">
        <w:t xml:space="preserve"> por</w:t>
      </w:r>
      <w:r w:rsidR="004F0700">
        <w:t xml:space="preserve"> </w:t>
      </w:r>
      <w:r w:rsidR="004F0700" w:rsidRPr="004F0700">
        <w:t>Suzigan e Albuquerque (</w:t>
      </w:r>
      <w:proofErr w:type="gramStart"/>
      <w:r w:rsidR="004F0700" w:rsidRPr="004F0700">
        <w:t>2011,</w:t>
      </w:r>
      <w:proofErr w:type="gramEnd"/>
      <w:r w:rsidR="004F0700" w:rsidRPr="004F0700">
        <w:t>p.17)</w:t>
      </w:r>
      <w:r w:rsidR="004F0700">
        <w:t>.</w:t>
      </w:r>
      <w:r w:rsidR="00787CB7">
        <w:t xml:space="preserve"> </w:t>
      </w:r>
      <w:r w:rsidR="00BA31FA">
        <w:t>Inclusive</w:t>
      </w:r>
      <w:r w:rsidR="008835EA">
        <w:t xml:space="preserve">, </w:t>
      </w:r>
      <w:r w:rsidR="00B03EE8">
        <w:t>entre</w:t>
      </w:r>
      <w:r w:rsidR="00402DA4">
        <w:t xml:space="preserve"> </w:t>
      </w:r>
      <w:r w:rsidR="00402DA4">
        <w:lastRenderedPageBreak/>
        <w:t xml:space="preserve">2011 e 2014 </w:t>
      </w:r>
      <w:r w:rsidR="00385BDD">
        <w:t>o aumento n</w:t>
      </w:r>
      <w:r w:rsidR="00402DA4">
        <w:t>a intensidade do</w:t>
      </w:r>
      <w:r w:rsidR="00B03EE8">
        <w:t xml:space="preserve"> esforço tecnológico na indústria estadual e nacional foi menor do que o observ</w:t>
      </w:r>
      <w:r w:rsidR="006547BA">
        <w:t>ado n</w:t>
      </w:r>
      <w:r w:rsidR="008835EA">
        <w:t>as nações</w:t>
      </w:r>
      <w:r w:rsidR="006547BA">
        <w:t xml:space="preserve"> mais desenvolvidas</w:t>
      </w:r>
      <w:r w:rsidR="00402DA4">
        <w:t xml:space="preserve">. Isso gera </w:t>
      </w:r>
      <w:proofErr w:type="gramStart"/>
      <w:r w:rsidR="00402DA4">
        <w:t xml:space="preserve">uma </w:t>
      </w:r>
      <w:r w:rsidR="003314BC">
        <w:t>certa</w:t>
      </w:r>
      <w:proofErr w:type="gramEnd"/>
      <w:r w:rsidR="003314BC">
        <w:t xml:space="preserve"> </w:t>
      </w:r>
      <w:r w:rsidR="00402DA4">
        <w:t>preocupação quanto a</w:t>
      </w:r>
      <w:r w:rsidR="00B03EE8">
        <w:t xml:space="preserve"> uma possível amp</w:t>
      </w:r>
      <w:r w:rsidR="006312D5">
        <w:t xml:space="preserve">liação da defasagem </w:t>
      </w:r>
      <w:r w:rsidR="00141EEC">
        <w:t>frente aos países</w:t>
      </w:r>
      <w:r w:rsidR="00B03EE8">
        <w:t xml:space="preserve"> líderes no dese</w:t>
      </w:r>
      <w:r w:rsidR="009460F1">
        <w:t xml:space="preserve">nvolvimento </w:t>
      </w:r>
      <w:r w:rsidR="006312D5">
        <w:t>tecnológico</w:t>
      </w:r>
      <w:r w:rsidR="008835EA">
        <w:t>, além de maior dificuldade para a inserçã</w:t>
      </w:r>
      <w:r w:rsidR="009460F1">
        <w:t xml:space="preserve">o na produção daquelas </w:t>
      </w:r>
      <w:r w:rsidR="006312D5">
        <w:t xml:space="preserve">inovações </w:t>
      </w:r>
      <w:r w:rsidR="008835EA">
        <w:t>que vêm despontando nos últimos anos</w:t>
      </w:r>
      <w:r w:rsidR="00B03EE8">
        <w:t>.</w:t>
      </w:r>
      <w:r w:rsidR="008835EA">
        <w:t xml:space="preserve"> Portanto, </w:t>
      </w:r>
      <w:r w:rsidR="009460F1">
        <w:t xml:space="preserve">entende-se que </w:t>
      </w:r>
      <w:r w:rsidR="0042609B">
        <w:t xml:space="preserve">dada </w:t>
      </w:r>
      <w:proofErr w:type="gramStart"/>
      <w:r w:rsidR="0042609B">
        <w:t>a</w:t>
      </w:r>
      <w:proofErr w:type="gramEnd"/>
      <w:r w:rsidR="0042609B">
        <w:t xml:space="preserve"> globalização dos</w:t>
      </w:r>
      <w:r w:rsidR="00793BE7">
        <w:t xml:space="preserve"> mercados</w:t>
      </w:r>
      <w:r w:rsidR="0042609B">
        <w:t xml:space="preserve"> </w:t>
      </w:r>
      <w:r w:rsidR="00A452A8">
        <w:t>seria necessário intensificar a</w:t>
      </w:r>
      <w:r w:rsidR="003036D7">
        <w:t xml:space="preserve"> elevação</w:t>
      </w:r>
      <w:r w:rsidR="00E22063">
        <w:t xml:space="preserve"> quantitativa e qualitativa nas capacitações tecnológicas das empresas industriais do Rio Grande do Sul e do Brasil, sendo um alvo para a aplicação de políticas</w:t>
      </w:r>
      <w:r w:rsidR="002F5F59">
        <w:t xml:space="preserve"> </w:t>
      </w:r>
      <w:r w:rsidR="00CD77AF">
        <w:t xml:space="preserve">educacionais, </w:t>
      </w:r>
      <w:r w:rsidR="002F5F59">
        <w:t>industriais</w:t>
      </w:r>
      <w:r w:rsidR="00CD77AF">
        <w:t xml:space="preserve"> e</w:t>
      </w:r>
      <w:r w:rsidR="002F5F59">
        <w:t xml:space="preserve"> de</w:t>
      </w:r>
      <w:r w:rsidR="00C84AFC">
        <w:t xml:space="preserve"> ciência e tecnologia</w:t>
      </w:r>
      <w:r w:rsidR="00E22063">
        <w:t>. Ademais</w:t>
      </w:r>
      <w:r w:rsidR="00DE340B">
        <w:t>, seria igualme</w:t>
      </w:r>
      <w:r w:rsidR="005936BA">
        <w:t>nte necessário ampliar e aprimorar</w:t>
      </w:r>
      <w:r w:rsidR="00DE340B">
        <w:t xml:space="preserve"> </w:t>
      </w:r>
      <w:r w:rsidR="00C126DA">
        <w:t>esses</w:t>
      </w:r>
      <w:r w:rsidR="00931D7C">
        <w:t xml:space="preserve"> instrumentos</w:t>
      </w:r>
      <w:r w:rsidR="00E74C53">
        <w:t>.</w:t>
      </w:r>
    </w:p>
    <w:p w14:paraId="72F855E6" w14:textId="4A4B84FF" w:rsidR="006E5CCD" w:rsidRPr="006E5CCD" w:rsidRDefault="006E5CCD" w:rsidP="00F550B2">
      <w:pPr>
        <w:pStyle w:val="Ttulo2"/>
      </w:pPr>
      <w:r>
        <w:t>Referências Bibliográficas</w:t>
      </w:r>
    </w:p>
    <w:p w14:paraId="7320DFBA" w14:textId="5B7F3AD0" w:rsidR="001E5A82" w:rsidRPr="000C1058" w:rsidRDefault="001E5A82" w:rsidP="00DD446B">
      <w:pPr>
        <w:spacing w:before="120" w:line="240" w:lineRule="auto"/>
        <w:ind w:left="284" w:hanging="284"/>
      </w:pPr>
      <w:r>
        <w:t xml:space="preserve">ANTUNES JÚNIOR, José A. V.; HORN, Carlos Henrique; PELLEGRIN, Ivan; VAZ, </w:t>
      </w:r>
      <w:proofErr w:type="spellStart"/>
      <w:r>
        <w:t>Ibes</w:t>
      </w:r>
      <w:proofErr w:type="spellEnd"/>
      <w:r>
        <w:t xml:space="preserve"> </w:t>
      </w:r>
      <w:proofErr w:type="spellStart"/>
      <w:r>
        <w:t>Eron</w:t>
      </w:r>
      <w:proofErr w:type="spellEnd"/>
      <w:r>
        <w:t xml:space="preserve"> A. (</w:t>
      </w:r>
      <w:proofErr w:type="spellStart"/>
      <w:r>
        <w:t>orgs</w:t>
      </w:r>
      <w:proofErr w:type="spellEnd"/>
      <w:r>
        <w:t xml:space="preserve">.). </w:t>
      </w:r>
      <w:r w:rsidRPr="00274A6A">
        <w:rPr>
          <w:b/>
        </w:rPr>
        <w:t>Remando Contra a Maré: a Política Industrial e de Desenvolvimento Econômico no Rio Grande do Sul (2011-2014)</w:t>
      </w:r>
      <w:r>
        <w:t>. Porto Alegre</w:t>
      </w:r>
      <w:r w:rsidR="007317CD">
        <w:t>/RS</w:t>
      </w:r>
      <w:r>
        <w:t xml:space="preserve">: </w:t>
      </w:r>
      <w:proofErr w:type="spellStart"/>
      <w:r>
        <w:t>Bookman</w:t>
      </w:r>
      <w:proofErr w:type="spellEnd"/>
      <w:r>
        <w:t>, 376p</w:t>
      </w:r>
      <w:proofErr w:type="gramStart"/>
      <w:r>
        <w:t>.,</w:t>
      </w:r>
      <w:proofErr w:type="gramEnd"/>
      <w:r>
        <w:t xml:space="preserve"> 2017.  </w:t>
      </w:r>
    </w:p>
    <w:p w14:paraId="4F33CA32" w14:textId="0D35801A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 w:rsidRPr="00FB526C">
        <w:t xml:space="preserve">BERNARDINI, Rafael (coord.); et. al. </w:t>
      </w:r>
      <w:r w:rsidRPr="00FB526C">
        <w:rPr>
          <w:b/>
        </w:rPr>
        <w:t>Ciência, tecnologia e inovação no Rio Grande do Sul: indicadores selecionados 2014</w:t>
      </w:r>
      <w:r w:rsidR="007317CD">
        <w:t xml:space="preserve">. </w:t>
      </w:r>
      <w:r w:rsidR="007317CD" w:rsidRPr="00415A61">
        <w:rPr>
          <w:lang w:val="en-US"/>
        </w:rPr>
        <w:t>Porto Alegre/RS</w:t>
      </w:r>
      <w:r w:rsidRPr="00415A61">
        <w:rPr>
          <w:lang w:val="en-US"/>
        </w:rPr>
        <w:t>: FEE, 80p., 2014.</w:t>
      </w:r>
    </w:p>
    <w:p w14:paraId="10E0C219" w14:textId="77777777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 w:rsidRPr="00415A61">
        <w:rPr>
          <w:lang w:val="en-US"/>
        </w:rPr>
        <w:t xml:space="preserve">COHEN, Wesley M.; LEVINTHAL, Daniel A. “Absorptive Capacity: A new perspective on learning and innovation”. </w:t>
      </w:r>
      <w:r>
        <w:t xml:space="preserve">Apresentação de Janaína Ruffoni </w:t>
      </w:r>
      <w:proofErr w:type="spellStart"/>
      <w:r>
        <w:t>Trez</w:t>
      </w:r>
      <w:proofErr w:type="spellEnd"/>
      <w:r>
        <w:t xml:space="preserve">. In: </w:t>
      </w:r>
      <w:r w:rsidRPr="002302BA">
        <w:rPr>
          <w:b/>
        </w:rPr>
        <w:t>Revista Brasileira de Inovação</w:t>
      </w:r>
      <w:r>
        <w:t xml:space="preserve">, Vol.8, Nº2, julho-dezembro. </w:t>
      </w:r>
      <w:r w:rsidRPr="00415A61">
        <w:rPr>
          <w:lang w:val="en-US"/>
        </w:rPr>
        <w:t>Rio de Janeiro/RJ: Finep. p.273-301, 2009.</w:t>
      </w:r>
    </w:p>
    <w:p w14:paraId="1982FC12" w14:textId="77777777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 w:rsidRPr="00415A61">
        <w:rPr>
          <w:lang w:val="en-US"/>
        </w:rPr>
        <w:t xml:space="preserve">EDQUIST, Charles. “Systems of Innovation Approaches – Their Emergence and Characteristics”. In: EDQUIST, Charles (ed.). </w:t>
      </w:r>
      <w:r w:rsidRPr="00415A61">
        <w:rPr>
          <w:b/>
          <w:lang w:val="en-US"/>
        </w:rPr>
        <w:t>Systems of Innovation: Technologies, Institutions and Organization</w:t>
      </w:r>
      <w:r w:rsidRPr="00415A61">
        <w:rPr>
          <w:lang w:val="en-US"/>
        </w:rPr>
        <w:t>. Nova Yorque/EUA: Routledge. p.1-35, 2011.</w:t>
      </w:r>
    </w:p>
    <w:p w14:paraId="510D00DA" w14:textId="77777777" w:rsidR="001E5A82" w:rsidRDefault="001E5A82" w:rsidP="00DD446B">
      <w:pPr>
        <w:spacing w:before="120" w:line="240" w:lineRule="auto"/>
        <w:ind w:left="284" w:hanging="284"/>
      </w:pPr>
      <w:r w:rsidRPr="00415A61">
        <w:rPr>
          <w:lang w:val="en-US"/>
        </w:rPr>
        <w:t xml:space="preserve">EUROSTAT. </w:t>
      </w:r>
      <w:r w:rsidRPr="00415A61">
        <w:rPr>
          <w:b/>
          <w:lang w:val="en-US"/>
        </w:rPr>
        <w:t>Community Innovation Survey 2014</w:t>
      </w:r>
      <w:r w:rsidRPr="00415A61">
        <w:rPr>
          <w:lang w:val="en-US"/>
        </w:rPr>
        <w:t xml:space="preserve">. Luxembourg: EUROPEAN COMMISSION, 2017a. </w:t>
      </w:r>
      <w:r w:rsidRPr="009F721E">
        <w:t>Disponível em: http://ec.europa.eu/eurostat. Acesso em: 07 mar. 2017.</w:t>
      </w:r>
    </w:p>
    <w:p w14:paraId="7AE67B84" w14:textId="77777777" w:rsidR="001E5A82" w:rsidRDefault="001E5A82" w:rsidP="00DD446B">
      <w:pPr>
        <w:spacing w:before="120" w:line="240" w:lineRule="auto"/>
        <w:ind w:left="284" w:hanging="284"/>
      </w:pPr>
      <w:r w:rsidRPr="00415A61">
        <w:rPr>
          <w:lang w:val="en-US"/>
        </w:rPr>
        <w:t xml:space="preserve">FREEMAN, Christopher. “Formal Scientific and Technical Institutions in the National Systems of Innovation”. In: LUNDVALL, Bengt-Ake (ed.). </w:t>
      </w:r>
      <w:r w:rsidRPr="00415A61">
        <w:rPr>
          <w:b/>
          <w:lang w:val="en-US"/>
        </w:rPr>
        <w:t>National Systems of Innovation: Toward a Theory of Innovation and Interactive Learning</w:t>
      </w:r>
      <w:r w:rsidRPr="00415A61">
        <w:rPr>
          <w:lang w:val="en-US"/>
        </w:rPr>
        <w:t xml:space="preserve">. </w:t>
      </w:r>
      <w:r w:rsidRPr="00FB7C72">
        <w:t xml:space="preserve">Londres/Reino Unido: Anthem Press. </w:t>
      </w:r>
      <w:proofErr w:type="gramStart"/>
      <w:r w:rsidRPr="00FB7C72">
        <w:t>p.</w:t>
      </w:r>
      <w:proofErr w:type="gramEnd"/>
      <w:r w:rsidRPr="00FB7C72">
        <w:t>173-192, 2010.</w:t>
      </w:r>
    </w:p>
    <w:p w14:paraId="7C0F3861" w14:textId="473DB4BE" w:rsidR="001E5A82" w:rsidRDefault="001E5A82" w:rsidP="00DD446B">
      <w:pPr>
        <w:spacing w:before="120" w:line="240" w:lineRule="auto"/>
        <w:ind w:left="284" w:hanging="284"/>
      </w:pPr>
      <w:r>
        <w:t xml:space="preserve">INSTITUTO BRASILEIRO DE GEOGRAFIA E ESTATÍSTICA (IBGE). </w:t>
      </w:r>
      <w:r w:rsidRPr="00E10CEA">
        <w:rPr>
          <w:b/>
        </w:rPr>
        <w:t>Pesquisa de Inovação Tecnológica (PINTEC) - 2005</w:t>
      </w:r>
      <w:r>
        <w:t xml:space="preserve">. Rio de </w:t>
      </w:r>
      <w:proofErr w:type="spellStart"/>
      <w:proofErr w:type="gramStart"/>
      <w:r>
        <w:t>Janeiro:</w:t>
      </w:r>
      <w:proofErr w:type="gramEnd"/>
      <w:r>
        <w:t>IBGE</w:t>
      </w:r>
      <w:proofErr w:type="spellEnd"/>
      <w:r>
        <w:t>, 2007.</w:t>
      </w:r>
    </w:p>
    <w:p w14:paraId="71662456" w14:textId="22DD3B74" w:rsidR="001E5A82" w:rsidRDefault="001E5A82" w:rsidP="00DD446B">
      <w:pPr>
        <w:spacing w:before="120" w:line="240" w:lineRule="auto"/>
        <w:ind w:left="284" w:hanging="284"/>
      </w:pPr>
      <w:r>
        <w:t xml:space="preserve">INSTITUTO BRASILEIRO DE GEOGRAFIA E ESTATÍSTICA (IBGE). </w:t>
      </w:r>
      <w:r w:rsidRPr="00AD61EE">
        <w:rPr>
          <w:b/>
        </w:rPr>
        <w:t>Pesquisa de inovação (PINTEC) - 2008</w:t>
      </w:r>
      <w:r>
        <w:t xml:space="preserve">. Rio de </w:t>
      </w:r>
      <w:proofErr w:type="spellStart"/>
      <w:proofErr w:type="gramStart"/>
      <w:r>
        <w:t>Janeiro:</w:t>
      </w:r>
      <w:proofErr w:type="gramEnd"/>
      <w:r>
        <w:t>IBGE</w:t>
      </w:r>
      <w:proofErr w:type="spellEnd"/>
      <w:r>
        <w:t>, 2010.</w:t>
      </w:r>
    </w:p>
    <w:p w14:paraId="771D6C5D" w14:textId="77777777" w:rsidR="001E5A82" w:rsidRDefault="001E5A82" w:rsidP="00DD446B">
      <w:pPr>
        <w:spacing w:before="120" w:line="240" w:lineRule="auto"/>
        <w:ind w:left="284" w:hanging="284"/>
      </w:pPr>
      <w:r>
        <w:t xml:space="preserve">INSTITUTO BRASILEIRO DE GEOGRAFIA E ESTATÍSTICA (IBGE). </w:t>
      </w:r>
      <w:r w:rsidRPr="00AD61EE">
        <w:rPr>
          <w:b/>
        </w:rPr>
        <w:t>Pesquisa de inovação (PINTEC) - 2011</w:t>
      </w:r>
      <w:r>
        <w:t xml:space="preserve">. Rio de </w:t>
      </w:r>
      <w:proofErr w:type="spellStart"/>
      <w:proofErr w:type="gramStart"/>
      <w:r>
        <w:t>Janeiro:</w:t>
      </w:r>
      <w:proofErr w:type="gramEnd"/>
      <w:r>
        <w:t>IBGE</w:t>
      </w:r>
      <w:proofErr w:type="spellEnd"/>
      <w:r>
        <w:t>, 2013.</w:t>
      </w:r>
    </w:p>
    <w:p w14:paraId="3ED31DE7" w14:textId="77777777" w:rsidR="001E5A82" w:rsidRDefault="001E5A82" w:rsidP="00DD446B">
      <w:pPr>
        <w:spacing w:before="120" w:line="240" w:lineRule="auto"/>
        <w:ind w:left="284" w:hanging="284"/>
      </w:pPr>
      <w:r>
        <w:t xml:space="preserve">INSTITUTO BRASILEIRO DE GEOGRAFIA E ESTATÍSTICA (IBGE). </w:t>
      </w:r>
      <w:r w:rsidRPr="00AD61EE">
        <w:rPr>
          <w:b/>
        </w:rPr>
        <w:t>Pesquisa de inovação (PINTEC) -</w:t>
      </w:r>
      <w:r>
        <w:rPr>
          <w:b/>
        </w:rPr>
        <w:t xml:space="preserve"> </w:t>
      </w:r>
      <w:r w:rsidRPr="00AD61EE">
        <w:rPr>
          <w:b/>
        </w:rPr>
        <w:t>2014</w:t>
      </w:r>
      <w:r>
        <w:t xml:space="preserve">. Rio de </w:t>
      </w:r>
      <w:proofErr w:type="spellStart"/>
      <w:proofErr w:type="gramStart"/>
      <w:r>
        <w:t>Janeiro:</w:t>
      </w:r>
      <w:proofErr w:type="gramEnd"/>
      <w:r>
        <w:t>IBGE</w:t>
      </w:r>
      <w:proofErr w:type="spellEnd"/>
      <w:r>
        <w:t>, 2016.</w:t>
      </w:r>
    </w:p>
    <w:p w14:paraId="2A6D4350" w14:textId="77777777" w:rsidR="001E5A82" w:rsidRDefault="001E5A82" w:rsidP="00DD446B">
      <w:pPr>
        <w:spacing w:before="120" w:line="240" w:lineRule="auto"/>
        <w:ind w:left="284" w:hanging="284"/>
      </w:pPr>
      <w:r w:rsidRPr="00FA6FB0">
        <w:t xml:space="preserve">INSTITUTO DE PESQUISA ECONOMICA APLICADA (IPEA). </w:t>
      </w:r>
      <w:r w:rsidRPr="00FA6FB0">
        <w:rPr>
          <w:b/>
        </w:rPr>
        <w:t>IPEADATA: IGP-DI - geral - índice (ago. 1994 = 100</w:t>
      </w:r>
      <w:proofErr w:type="gramStart"/>
      <w:r w:rsidRPr="00FA6FB0">
        <w:rPr>
          <w:b/>
        </w:rPr>
        <w:t>)</w:t>
      </w:r>
      <w:proofErr w:type="gramEnd"/>
      <w:r w:rsidRPr="00FA6FB0">
        <w:rPr>
          <w:b/>
        </w:rPr>
        <w:t>/Fundação Getúlio Vargas (FGV)</w:t>
      </w:r>
      <w:r w:rsidRPr="00FA6FB0">
        <w:t>. 2017. Disponível em: http://www.ipeadata.gov.br. Acesso em: 10 fev. 2017.</w:t>
      </w:r>
    </w:p>
    <w:p w14:paraId="19A72F30" w14:textId="77777777" w:rsidR="001E5A82" w:rsidRDefault="001E5A82" w:rsidP="00DD446B">
      <w:pPr>
        <w:spacing w:before="120" w:line="240" w:lineRule="auto"/>
        <w:ind w:left="284" w:hanging="284"/>
      </w:pPr>
      <w:r w:rsidRPr="00415A61">
        <w:rPr>
          <w:lang w:val="en-US"/>
        </w:rPr>
        <w:lastRenderedPageBreak/>
        <w:t xml:space="preserve">LUNDVALL, Bengt-Ake. “Introduction”. In: LUNDVALL, Bengt-Ake (ed.). </w:t>
      </w:r>
      <w:r w:rsidRPr="00415A61">
        <w:rPr>
          <w:b/>
          <w:lang w:val="en-US"/>
        </w:rPr>
        <w:t>National Systems of Innovation: Toward a Theory of Innovation and Interactive Learning</w:t>
      </w:r>
      <w:r w:rsidRPr="00415A61">
        <w:rPr>
          <w:lang w:val="en-US"/>
        </w:rPr>
        <w:t xml:space="preserve">. </w:t>
      </w:r>
      <w:r w:rsidRPr="005D62F1">
        <w:t xml:space="preserve">Londres/Reino Unido: Anthem Press. </w:t>
      </w:r>
      <w:proofErr w:type="gramStart"/>
      <w:r w:rsidRPr="005D62F1">
        <w:t>p.</w:t>
      </w:r>
      <w:proofErr w:type="gramEnd"/>
      <w:r w:rsidRPr="005D62F1">
        <w:t>1-19, 2010.</w:t>
      </w:r>
    </w:p>
    <w:p w14:paraId="0AE79EC6" w14:textId="77777777" w:rsidR="001E5A82" w:rsidRDefault="001E5A82" w:rsidP="00DD446B">
      <w:pPr>
        <w:spacing w:before="120" w:line="240" w:lineRule="auto"/>
        <w:ind w:left="284" w:hanging="284"/>
      </w:pPr>
      <w:r w:rsidRPr="00B6793E">
        <w:t xml:space="preserve">MAZZUCATO, Mariana; PENNA, Caetano. </w:t>
      </w:r>
      <w:r w:rsidRPr="00415A61">
        <w:rPr>
          <w:lang w:val="en-US"/>
        </w:rPr>
        <w:t xml:space="preserve">“The Brazilian Innovation System: A Mission-Oriented Policy Proposal”. </w:t>
      </w:r>
      <w:r w:rsidRPr="00B6793E">
        <w:t xml:space="preserve">In: </w:t>
      </w:r>
      <w:r w:rsidRPr="00B6793E">
        <w:rPr>
          <w:b/>
        </w:rPr>
        <w:t>Temas Estratégicos para o Desenvolvimento do Brasil</w:t>
      </w:r>
      <w:r w:rsidRPr="00B6793E">
        <w:t>. nº1, mar., 119p</w:t>
      </w:r>
      <w:proofErr w:type="gramStart"/>
      <w:r w:rsidRPr="00B6793E">
        <w:t>..</w:t>
      </w:r>
      <w:proofErr w:type="gramEnd"/>
      <w:r w:rsidRPr="00B6793E">
        <w:t xml:space="preserve"> Avaliação de Programas em CT&amp;I. Brasília/DF: Centro de Gestão e Estudos Estratégicos, 119p</w:t>
      </w:r>
      <w:proofErr w:type="gramStart"/>
      <w:r w:rsidRPr="00B6793E">
        <w:t>.,</w:t>
      </w:r>
      <w:proofErr w:type="gramEnd"/>
      <w:r w:rsidRPr="00B6793E">
        <w:t xml:space="preserve"> 2016.</w:t>
      </w:r>
    </w:p>
    <w:p w14:paraId="72C2D177" w14:textId="77777777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 w:rsidRPr="00415A61">
        <w:rPr>
          <w:lang w:val="en-US"/>
        </w:rPr>
        <w:t xml:space="preserve">ORGANISATION FOR ECONOMIC CO-OPERATION (OCDE); DEVELOPMENT STATISTICAL OFFICE OF THE EUROPEAN COMMUNITIES (EUROSTAT). </w:t>
      </w:r>
      <w:r w:rsidRPr="00415A61">
        <w:rPr>
          <w:b/>
          <w:lang w:val="en-US"/>
        </w:rPr>
        <w:t>Oslo Manual: guidelines for collecting and interpreting innovation data</w:t>
      </w:r>
      <w:r w:rsidRPr="00415A61">
        <w:rPr>
          <w:lang w:val="en-US"/>
        </w:rPr>
        <w:t>. 3</w:t>
      </w:r>
      <w:r w:rsidRPr="00415A61">
        <w:rPr>
          <w:vertAlign w:val="superscript"/>
          <w:lang w:val="en-US"/>
        </w:rPr>
        <w:t>rd</w:t>
      </w:r>
      <w:r w:rsidRPr="00415A61">
        <w:rPr>
          <w:lang w:val="en-US"/>
        </w:rPr>
        <w:t xml:space="preserve"> edition. The Measurement of Scientific, Technological and Innovation Activities. Paris/FR: OCDE Publishing. 2005.</w:t>
      </w:r>
    </w:p>
    <w:p w14:paraId="36EAC3A2" w14:textId="77777777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 w:rsidRPr="00415A61">
        <w:rPr>
          <w:lang w:val="en-US"/>
        </w:rPr>
        <w:t xml:space="preserve">ORGANISATION FOR ECONOMIC CO-OPERATION (OCDE). “Business enterprise R-D expenditure by industry (ISIC 4)”. </w:t>
      </w:r>
      <w:r>
        <w:t xml:space="preserve">In: </w:t>
      </w:r>
      <w:proofErr w:type="spellStart"/>
      <w:proofErr w:type="gramStart"/>
      <w:r w:rsidRPr="00E864F1">
        <w:rPr>
          <w:b/>
        </w:rPr>
        <w:t>OECD.</w:t>
      </w:r>
      <w:proofErr w:type="gramEnd"/>
      <w:r w:rsidRPr="00E864F1">
        <w:rPr>
          <w:b/>
        </w:rPr>
        <w:t>Stat</w:t>
      </w:r>
      <w:proofErr w:type="spellEnd"/>
      <w:r>
        <w:t>. Paris/FR: OCDE. 2017. Disponível em:</w:t>
      </w:r>
      <w:r w:rsidRPr="00167BD2">
        <w:t xml:space="preserve"> </w:t>
      </w:r>
      <w:hyperlink r:id="rId15" w:history="1">
        <w:r w:rsidRPr="0077408F">
          <w:rPr>
            <w:rStyle w:val="Hyperlink"/>
          </w:rPr>
          <w:t>http://stats.oecd.org</w:t>
        </w:r>
      </w:hyperlink>
      <w:r>
        <w:t xml:space="preserve">. </w:t>
      </w:r>
      <w:r w:rsidRPr="00415A61">
        <w:rPr>
          <w:lang w:val="en-US"/>
        </w:rPr>
        <w:t xml:space="preserve">Acesso em 13 jun. 2017. </w:t>
      </w:r>
    </w:p>
    <w:p w14:paraId="675FEC00" w14:textId="77777777" w:rsidR="001E5A82" w:rsidRDefault="001E5A82" w:rsidP="00DD446B">
      <w:pPr>
        <w:spacing w:before="120" w:line="240" w:lineRule="auto"/>
        <w:ind w:left="284" w:hanging="284"/>
      </w:pPr>
      <w:r w:rsidRPr="00415A61">
        <w:rPr>
          <w:lang w:val="en-US"/>
        </w:rPr>
        <w:t xml:space="preserve">ORGANISATION FOR ECONOMIC CO-OPERATION (OCDE). </w:t>
      </w:r>
      <w:r w:rsidRPr="00415A61">
        <w:rPr>
          <w:b/>
          <w:lang w:val="en-US"/>
        </w:rPr>
        <w:t>Frascati Manual 2015: guidelines for collecting and reporting data on research and experimental development</w:t>
      </w:r>
      <w:r w:rsidRPr="00415A61">
        <w:rPr>
          <w:lang w:val="en-US"/>
        </w:rPr>
        <w:t xml:space="preserve">. The Measurement of Scientific, Technological and Innovation Activities Paris/FR: OCDE Publishing. </w:t>
      </w:r>
      <w:r>
        <w:t>2015.</w:t>
      </w:r>
    </w:p>
    <w:p w14:paraId="65EDA725" w14:textId="77777777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>
        <w:t xml:space="preserve">PETROBRAS. </w:t>
      </w:r>
      <w:r w:rsidRPr="00C43570">
        <w:rPr>
          <w:b/>
        </w:rPr>
        <w:t>Tecnologia e Inovação</w:t>
      </w:r>
      <w:r>
        <w:t xml:space="preserve">. Disponível em: </w:t>
      </w:r>
      <w:hyperlink r:id="rId16" w:history="1">
        <w:r w:rsidRPr="00E709D6">
          <w:rPr>
            <w:rStyle w:val="Hyperlink"/>
          </w:rPr>
          <w:t>http://www.petrobras.com.br/pt/nossas-atividades/tecnologia-e-inovacao/</w:t>
        </w:r>
      </w:hyperlink>
      <w:r>
        <w:t xml:space="preserve">. </w:t>
      </w:r>
      <w:r w:rsidRPr="00415A61">
        <w:rPr>
          <w:lang w:val="en-US"/>
        </w:rPr>
        <w:t>Acesso em 26/05/2017.</w:t>
      </w:r>
    </w:p>
    <w:p w14:paraId="69322CE7" w14:textId="77777777" w:rsidR="001E5A82" w:rsidRPr="00415A61" w:rsidRDefault="001E5A82" w:rsidP="00DD446B">
      <w:pPr>
        <w:spacing w:before="120" w:line="240" w:lineRule="auto"/>
        <w:ind w:left="284" w:hanging="284"/>
        <w:rPr>
          <w:lang w:val="en-US"/>
        </w:rPr>
      </w:pPr>
      <w:r w:rsidRPr="00415A61">
        <w:rPr>
          <w:lang w:val="en-US"/>
        </w:rPr>
        <w:t xml:space="preserve">RAPINI, Márcia S.; CHIARINI, Tulio; BITTENCOURT, Pablo F. “Obstacles to innovation in Brazil: The lack of qualified individuals to implement innovation and establish university–firm interactions”. In: </w:t>
      </w:r>
      <w:r w:rsidRPr="00415A61">
        <w:rPr>
          <w:b/>
          <w:lang w:val="en-US"/>
        </w:rPr>
        <w:t>Industry and Higher-Education</w:t>
      </w:r>
      <w:r w:rsidRPr="00415A61">
        <w:rPr>
          <w:lang w:val="en-US"/>
        </w:rPr>
        <w:t>, XX (X). Londres/RU: Sage Publishing, p.1-16, 2017.</w:t>
      </w:r>
    </w:p>
    <w:p w14:paraId="44F17A6D" w14:textId="77777777" w:rsidR="001E5A82" w:rsidRDefault="001E5A82" w:rsidP="00DD446B">
      <w:pPr>
        <w:spacing w:before="120" w:line="240" w:lineRule="auto"/>
        <w:ind w:left="284" w:hanging="284"/>
      </w:pPr>
      <w:r w:rsidRPr="00CE1A09">
        <w:t xml:space="preserve">SUZIGAN, Wilson; ALBUQUERQUE, Eduardo M. “A interação entre universidades e empresas em perspectiva histórica no Brasil”. In: SUZIGAN, Wilson; ALBUQUERQUE, Eduardo M.; </w:t>
      </w:r>
      <w:proofErr w:type="gramStart"/>
      <w:r w:rsidRPr="00CE1A09">
        <w:t>CARIO,</w:t>
      </w:r>
      <w:proofErr w:type="gramEnd"/>
      <w:r w:rsidRPr="00CE1A09">
        <w:t xml:space="preserve"> Silvio A. F. (eds.). </w:t>
      </w:r>
      <w:r w:rsidRPr="00CE1A09">
        <w:rPr>
          <w:b/>
        </w:rPr>
        <w:t>Em Busca da Inovação: Interação Universidade-Empresa no Brasil</w:t>
      </w:r>
      <w:r w:rsidRPr="00CE1A09">
        <w:t xml:space="preserve">. Belo Horizonte: Autêntica Editora, (Coleção Economia Política e Sociedade, </w:t>
      </w:r>
      <w:proofErr w:type="gramStart"/>
      <w:r w:rsidRPr="00CE1A09">
        <w:t>3</w:t>
      </w:r>
      <w:proofErr w:type="gramEnd"/>
      <w:r w:rsidRPr="00CE1A09">
        <w:t>), p.17-44, 2011.</w:t>
      </w:r>
    </w:p>
    <w:p w14:paraId="7EF27FA3" w14:textId="269B3299" w:rsidR="001E5A82" w:rsidRPr="00415A61" w:rsidRDefault="0063109A" w:rsidP="0063109A">
      <w:pPr>
        <w:spacing w:before="120" w:line="240" w:lineRule="auto"/>
        <w:ind w:left="284" w:hanging="284"/>
        <w:rPr>
          <w:lang w:val="en-US"/>
        </w:rPr>
      </w:pPr>
      <w:r w:rsidRPr="00415A61">
        <w:rPr>
          <w:lang w:val="en-US"/>
        </w:rPr>
        <w:t xml:space="preserve">TEECE, David; PISANO, Gary; SHUEN, Amy. </w:t>
      </w:r>
      <w:proofErr w:type="gramStart"/>
      <w:r w:rsidRPr="00415A61">
        <w:rPr>
          <w:lang w:val="en-US"/>
        </w:rPr>
        <w:t>“Dynamic Capabilities and Strategic Management”.</w:t>
      </w:r>
      <w:proofErr w:type="gramEnd"/>
      <w:r w:rsidRPr="00415A61">
        <w:rPr>
          <w:lang w:val="en-US"/>
        </w:rPr>
        <w:t xml:space="preserve"> In: </w:t>
      </w:r>
      <w:r w:rsidRPr="00415A61">
        <w:rPr>
          <w:b/>
          <w:lang w:val="en-US"/>
        </w:rPr>
        <w:t>Strategic Management Journal</w:t>
      </w:r>
      <w:r w:rsidR="00836C7E" w:rsidRPr="00415A61">
        <w:rPr>
          <w:lang w:val="en-US"/>
        </w:rPr>
        <w:t>. Vol.18, Nº7, august</w:t>
      </w:r>
      <w:r w:rsidRPr="00415A61">
        <w:rPr>
          <w:lang w:val="en-US"/>
        </w:rPr>
        <w:t>. NovaJersey/EUA: John Wiley &amp; Sons Ltda.</w:t>
      </w:r>
      <w:r w:rsidR="00836C7E" w:rsidRPr="00415A61">
        <w:rPr>
          <w:lang w:val="en-US"/>
        </w:rPr>
        <w:t xml:space="preserve"> p.509-533,</w:t>
      </w:r>
      <w:r w:rsidRPr="00415A61">
        <w:rPr>
          <w:lang w:val="en-US"/>
        </w:rPr>
        <w:t xml:space="preserve"> 1997.</w:t>
      </w:r>
    </w:p>
    <w:sectPr w:rsidR="001E5A82" w:rsidRPr="00415A61" w:rsidSect="00A57BA8">
      <w:type w:val="continuous"/>
      <w:pgSz w:w="11900" w:h="16840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9687" w14:textId="77777777" w:rsidR="00BE1B1D" w:rsidRDefault="00BE1B1D" w:rsidP="00657E4C">
      <w:pPr>
        <w:spacing w:line="240" w:lineRule="auto"/>
      </w:pPr>
      <w:r>
        <w:separator/>
      </w:r>
    </w:p>
  </w:endnote>
  <w:endnote w:type="continuationSeparator" w:id="0">
    <w:p w14:paraId="7A8C7E92" w14:textId="77777777" w:rsidR="00BE1B1D" w:rsidRDefault="00BE1B1D" w:rsidP="00657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4672C" w14:textId="77777777" w:rsidR="00BE1B1D" w:rsidRDefault="00BE1B1D" w:rsidP="00DE72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BB276D" w14:textId="77777777" w:rsidR="00BE1B1D" w:rsidRDefault="00BE1B1D" w:rsidP="00DC155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C242" w14:textId="77777777" w:rsidR="00BE1B1D" w:rsidRPr="00DC155A" w:rsidRDefault="00BE1B1D" w:rsidP="00DE72B2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DC155A">
      <w:rPr>
        <w:rStyle w:val="Nmerodepgina"/>
        <w:rFonts w:ascii="Arial" w:hAnsi="Arial" w:cs="Arial"/>
        <w:sz w:val="16"/>
        <w:szCs w:val="16"/>
      </w:rPr>
      <w:fldChar w:fldCharType="begin"/>
    </w:r>
    <w:r w:rsidRPr="00DC155A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DC155A">
      <w:rPr>
        <w:rStyle w:val="Nmerodepgina"/>
        <w:rFonts w:ascii="Arial" w:hAnsi="Arial" w:cs="Arial"/>
        <w:sz w:val="16"/>
        <w:szCs w:val="16"/>
      </w:rPr>
      <w:fldChar w:fldCharType="separate"/>
    </w:r>
    <w:r w:rsidR="00A72BDB">
      <w:rPr>
        <w:rStyle w:val="Nmerodepgina"/>
        <w:rFonts w:ascii="Arial" w:hAnsi="Arial" w:cs="Arial"/>
        <w:noProof/>
        <w:sz w:val="16"/>
        <w:szCs w:val="16"/>
      </w:rPr>
      <w:t>13</w:t>
    </w:r>
    <w:r w:rsidRPr="00DC155A">
      <w:rPr>
        <w:rStyle w:val="Nmerodepgina"/>
        <w:rFonts w:ascii="Arial" w:hAnsi="Arial" w:cs="Arial"/>
        <w:sz w:val="16"/>
        <w:szCs w:val="16"/>
      </w:rPr>
      <w:fldChar w:fldCharType="end"/>
    </w:r>
  </w:p>
  <w:p w14:paraId="2936903A" w14:textId="77777777" w:rsidR="00BE1B1D" w:rsidRPr="00DC155A" w:rsidRDefault="00BE1B1D" w:rsidP="00DC155A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F140D" w14:textId="77777777" w:rsidR="00BE1B1D" w:rsidRDefault="00BE1B1D" w:rsidP="00657E4C">
      <w:pPr>
        <w:spacing w:line="240" w:lineRule="auto"/>
      </w:pPr>
      <w:r>
        <w:separator/>
      </w:r>
    </w:p>
  </w:footnote>
  <w:footnote w:type="continuationSeparator" w:id="0">
    <w:p w14:paraId="0F8830D1" w14:textId="77777777" w:rsidR="00BE1B1D" w:rsidRDefault="00BE1B1D" w:rsidP="00657E4C">
      <w:pPr>
        <w:spacing w:line="240" w:lineRule="auto"/>
      </w:pPr>
      <w:r>
        <w:continuationSeparator/>
      </w:r>
    </w:p>
  </w:footnote>
  <w:footnote w:id="1">
    <w:p w14:paraId="79D39395" w14:textId="77777777" w:rsidR="00BE1B1D" w:rsidRPr="00415A61" w:rsidRDefault="00BE1B1D" w:rsidP="002255B9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1330F8">
        <w:rPr>
          <w:rStyle w:val="Refdenotaderodap"/>
          <w:rFonts w:ascii="Arial" w:hAnsi="Arial" w:cs="Arial"/>
          <w:sz w:val="16"/>
          <w:szCs w:val="16"/>
        </w:rPr>
        <w:footnoteRef/>
      </w:r>
      <w:r w:rsidRPr="001330F8">
        <w:rPr>
          <w:rFonts w:ascii="Arial" w:hAnsi="Arial" w:cs="Arial"/>
          <w:sz w:val="16"/>
          <w:szCs w:val="16"/>
        </w:rPr>
        <w:t xml:space="preserve"> Nesse texto, o termo “empresas industriais” é adotado como referência aos setores das indústrias extrativas e de transformação.</w:t>
      </w:r>
    </w:p>
  </w:footnote>
  <w:footnote w:id="2">
    <w:p w14:paraId="37F08269" w14:textId="0D13CCBA" w:rsidR="00BE1B1D" w:rsidRPr="007F0EED" w:rsidRDefault="00BE1B1D" w:rsidP="008F01FB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1330F8">
        <w:rPr>
          <w:rStyle w:val="Refdenotaderodap"/>
          <w:rFonts w:ascii="Arial" w:hAnsi="Arial" w:cs="Arial"/>
          <w:sz w:val="16"/>
          <w:szCs w:val="16"/>
        </w:rPr>
        <w:footnoteRef/>
      </w:r>
      <w:r w:rsidRPr="001330F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A título de ilustração, algumas das </w:t>
      </w:r>
      <w:r w:rsidRPr="001330F8">
        <w:rPr>
          <w:rFonts w:ascii="Arial" w:hAnsi="Arial" w:cs="Arial"/>
          <w:sz w:val="16"/>
          <w:szCs w:val="16"/>
        </w:rPr>
        <w:t xml:space="preserve">políticas industriais e de ciência e </w:t>
      </w:r>
      <w:proofErr w:type="gramStart"/>
      <w:r w:rsidRPr="001330F8">
        <w:rPr>
          <w:rFonts w:ascii="Arial" w:hAnsi="Arial" w:cs="Arial"/>
          <w:sz w:val="16"/>
          <w:szCs w:val="16"/>
        </w:rPr>
        <w:t>tecnologia</w:t>
      </w:r>
      <w:r>
        <w:rPr>
          <w:rFonts w:ascii="Arial" w:hAnsi="Arial" w:cs="Arial"/>
          <w:sz w:val="16"/>
          <w:szCs w:val="16"/>
        </w:rPr>
        <w:t xml:space="preserve"> implantadas no Brasil</w:t>
      </w:r>
      <w:proofErr w:type="gramEnd"/>
      <w:r>
        <w:rPr>
          <w:rFonts w:ascii="Arial" w:hAnsi="Arial" w:cs="Arial"/>
          <w:sz w:val="16"/>
          <w:szCs w:val="16"/>
        </w:rPr>
        <w:t xml:space="preserve"> pelo Governo Federal, com destaque no apoio à inovação após 2003 foram: </w:t>
      </w:r>
      <w:r w:rsidRPr="007F0EED">
        <w:rPr>
          <w:rFonts w:ascii="Arial" w:hAnsi="Arial" w:cs="Arial"/>
          <w:sz w:val="16"/>
          <w:szCs w:val="16"/>
        </w:rPr>
        <w:t>Política Industrial, Tecnológica e de Comércio Exterior (PITCE), Fundo Nacional de Desenvolvimento Científico e Tecnológico, Lei da Inovação, Plano de Desenvolvimento Produtivo (PDP), Plano Brasil Maior</w:t>
      </w:r>
      <w:r>
        <w:rPr>
          <w:rFonts w:ascii="Arial" w:hAnsi="Arial" w:cs="Arial"/>
          <w:sz w:val="16"/>
          <w:szCs w:val="16"/>
        </w:rPr>
        <w:t>. Para um maior aprofundamento da discussão sobre</w:t>
      </w:r>
      <w:r w:rsidRPr="001330F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políticas brasileiras de inovação </w:t>
      </w:r>
      <w:r w:rsidRPr="001330F8">
        <w:rPr>
          <w:rFonts w:ascii="Arial" w:hAnsi="Arial" w:cs="Arial"/>
          <w:sz w:val="16"/>
          <w:szCs w:val="16"/>
        </w:rPr>
        <w:t>anteriores e posteriores a 2003, sugere-se a leitura destes estudos</w:t>
      </w:r>
      <w:r w:rsidRPr="00415A61">
        <w:rPr>
          <w:rFonts w:ascii="Arial" w:hAnsi="Arial" w:cs="Arial"/>
          <w:sz w:val="16"/>
          <w:szCs w:val="16"/>
        </w:rPr>
        <w:t>.</w:t>
      </w:r>
    </w:p>
  </w:footnote>
  <w:footnote w:id="3">
    <w:p w14:paraId="09E00B3A" w14:textId="3E1DCB53" w:rsidR="00BE1B1D" w:rsidRPr="00D527E1" w:rsidRDefault="00BE1B1D" w:rsidP="00686988">
      <w:pPr>
        <w:pStyle w:val="Textodenotaderodap"/>
        <w:ind w:firstLine="0"/>
        <w:rPr>
          <w:rStyle w:val="Refdenotaderodap"/>
        </w:rPr>
      </w:pPr>
      <w:r w:rsidRPr="00D527E1">
        <w:rPr>
          <w:rStyle w:val="Refdenotaderodap"/>
          <w:rFonts w:ascii="Arial" w:hAnsi="Arial" w:cs="Arial"/>
          <w:sz w:val="16"/>
          <w:szCs w:val="16"/>
        </w:rPr>
        <w:footnoteRef/>
      </w:r>
      <w:r w:rsidRPr="00D527E1">
        <w:rPr>
          <w:rFonts w:ascii="Arial" w:hAnsi="Arial" w:cs="Arial"/>
          <w:sz w:val="16"/>
          <w:szCs w:val="16"/>
        </w:rPr>
        <w:t xml:space="preserve"> No Rio Grande do Sul, dentre as </w:t>
      </w:r>
      <w:r w:rsidRPr="00802A97">
        <w:rPr>
          <w:rFonts w:ascii="Arial" w:hAnsi="Arial" w:cs="Arial"/>
          <w:sz w:val="16"/>
          <w:szCs w:val="16"/>
        </w:rPr>
        <w:t>ações elaboradas e intensificadas pelo Governo do Estado de 1999 a 2014 e que tiveram relativo</w:t>
      </w:r>
      <w:r>
        <w:rPr>
          <w:rFonts w:ascii="Arial" w:hAnsi="Arial" w:cs="Arial"/>
          <w:sz w:val="16"/>
          <w:szCs w:val="16"/>
        </w:rPr>
        <w:t xml:space="preserve"> maior vulto, </w:t>
      </w:r>
      <w:r w:rsidRPr="00802A97">
        <w:rPr>
          <w:rFonts w:ascii="Arial" w:hAnsi="Arial" w:cs="Arial"/>
          <w:sz w:val="16"/>
          <w:szCs w:val="16"/>
        </w:rPr>
        <w:t>pode-se elencar as seguintes: Programa de Apoio aos Sistemas Locais de Produção (SLPs), Fundo Operação Empresa do Estado do Rio Grande do Sul (FUNDOPEM</w:t>
      </w:r>
      <w:r w:rsidRPr="00D527E1">
        <w:rPr>
          <w:rFonts w:ascii="Arial" w:hAnsi="Arial" w:cs="Arial"/>
          <w:sz w:val="16"/>
          <w:szCs w:val="16"/>
        </w:rPr>
        <w:t>/RS); Programa Estadual de Fortalecimento das Cadeias e Arranjos Produtivos Loca</w:t>
      </w:r>
      <w:r>
        <w:rPr>
          <w:rFonts w:ascii="Arial" w:hAnsi="Arial" w:cs="Arial"/>
          <w:sz w:val="16"/>
          <w:szCs w:val="16"/>
        </w:rPr>
        <w:t xml:space="preserve">is (APLs); Programa Gaúcho de Apoio aos Parques Tecnológicos (PGTEC). Um maior detalhamento das ações pode ser encontrado em Antunes Júnior; Horn; </w:t>
      </w:r>
      <w:proofErr w:type="spellStart"/>
      <w:r>
        <w:rPr>
          <w:rFonts w:ascii="Arial" w:hAnsi="Arial" w:cs="Arial"/>
          <w:sz w:val="16"/>
          <w:szCs w:val="16"/>
        </w:rPr>
        <w:t>Pellegrin</w:t>
      </w:r>
      <w:proofErr w:type="spellEnd"/>
      <w:r>
        <w:rPr>
          <w:rFonts w:ascii="Arial" w:hAnsi="Arial" w:cs="Arial"/>
          <w:sz w:val="16"/>
          <w:szCs w:val="16"/>
        </w:rPr>
        <w:t xml:space="preserve">; Vaz (2017). </w:t>
      </w:r>
    </w:p>
  </w:footnote>
  <w:footnote w:id="4">
    <w:p w14:paraId="240432B3" w14:textId="5282CFED" w:rsidR="00BE1B1D" w:rsidRPr="006C16BE" w:rsidRDefault="00BE1B1D" w:rsidP="006C16BE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6C16BE">
        <w:rPr>
          <w:rStyle w:val="Refdenotaderodap"/>
          <w:rFonts w:ascii="Arial" w:hAnsi="Arial" w:cs="Arial"/>
          <w:sz w:val="16"/>
          <w:szCs w:val="16"/>
        </w:rPr>
        <w:footnoteRef/>
      </w:r>
      <w:r w:rsidRPr="006C16BE">
        <w:rPr>
          <w:rFonts w:ascii="Arial" w:hAnsi="Arial" w:cs="Arial"/>
          <w:sz w:val="16"/>
          <w:szCs w:val="16"/>
        </w:rPr>
        <w:t xml:space="preserve"> Observe-se que, devido à dificuldade de se isolar os efeitos de cada </w:t>
      </w:r>
      <w:r>
        <w:rPr>
          <w:rFonts w:ascii="Arial" w:hAnsi="Arial" w:cs="Arial"/>
          <w:sz w:val="16"/>
          <w:szCs w:val="16"/>
        </w:rPr>
        <w:t xml:space="preserve">uma das </w:t>
      </w:r>
      <w:r w:rsidRPr="006C16BE">
        <w:rPr>
          <w:rFonts w:ascii="Arial" w:hAnsi="Arial" w:cs="Arial"/>
          <w:sz w:val="16"/>
          <w:szCs w:val="16"/>
        </w:rPr>
        <w:t>política</w:t>
      </w:r>
      <w:r>
        <w:rPr>
          <w:rFonts w:ascii="Arial" w:hAnsi="Arial" w:cs="Arial"/>
          <w:sz w:val="16"/>
          <w:szCs w:val="16"/>
        </w:rPr>
        <w:t>s</w:t>
      </w:r>
      <w:r w:rsidRPr="006C16B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públicas </w:t>
      </w:r>
      <w:r w:rsidRPr="006C16BE">
        <w:rPr>
          <w:rFonts w:ascii="Arial" w:hAnsi="Arial" w:cs="Arial"/>
          <w:sz w:val="16"/>
          <w:szCs w:val="16"/>
        </w:rPr>
        <w:t>implementada</w:t>
      </w:r>
      <w:r>
        <w:rPr>
          <w:rFonts w:ascii="Arial" w:hAnsi="Arial" w:cs="Arial"/>
          <w:sz w:val="16"/>
          <w:szCs w:val="16"/>
        </w:rPr>
        <w:t>s no período</w:t>
      </w:r>
      <w:r w:rsidRPr="006C16BE">
        <w:rPr>
          <w:rFonts w:ascii="Arial" w:hAnsi="Arial" w:cs="Arial"/>
          <w:sz w:val="16"/>
          <w:szCs w:val="16"/>
        </w:rPr>
        <w:t xml:space="preserve">, o estudo restringe-se </w:t>
      </w:r>
      <w:proofErr w:type="gramStart"/>
      <w:r w:rsidRPr="006C16BE">
        <w:rPr>
          <w:rFonts w:ascii="Arial" w:hAnsi="Arial" w:cs="Arial"/>
          <w:sz w:val="16"/>
          <w:szCs w:val="16"/>
        </w:rPr>
        <w:t>à</w:t>
      </w:r>
      <w:proofErr w:type="gramEnd"/>
      <w:r w:rsidRPr="006C16BE">
        <w:rPr>
          <w:rFonts w:ascii="Arial" w:hAnsi="Arial" w:cs="Arial"/>
          <w:sz w:val="16"/>
          <w:szCs w:val="16"/>
        </w:rPr>
        <w:t xml:space="preserve"> avaliar como evoluíram as capacitações tecnológicas das empresas industriais</w:t>
      </w:r>
      <w:r>
        <w:rPr>
          <w:rFonts w:ascii="Arial" w:hAnsi="Arial" w:cs="Arial"/>
          <w:sz w:val="16"/>
          <w:szCs w:val="16"/>
        </w:rPr>
        <w:t xml:space="preserve"> no Estado comparada à</w:t>
      </w:r>
      <w:r w:rsidRPr="006C16BE">
        <w:rPr>
          <w:rFonts w:ascii="Arial" w:hAnsi="Arial" w:cs="Arial"/>
          <w:sz w:val="16"/>
          <w:szCs w:val="16"/>
        </w:rPr>
        <w:t xml:space="preserve"> Unidades da Federação mais industrializadas, </w:t>
      </w:r>
      <w:r>
        <w:rPr>
          <w:rFonts w:ascii="Arial" w:hAnsi="Arial" w:cs="Arial"/>
          <w:sz w:val="16"/>
          <w:szCs w:val="16"/>
        </w:rPr>
        <w:t>à</w:t>
      </w:r>
      <w:r w:rsidRPr="006C16BE">
        <w:rPr>
          <w:rFonts w:ascii="Arial" w:hAnsi="Arial" w:cs="Arial"/>
          <w:sz w:val="16"/>
          <w:szCs w:val="16"/>
        </w:rPr>
        <w:t xml:space="preserve"> media nacional</w:t>
      </w:r>
      <w:r>
        <w:rPr>
          <w:rFonts w:ascii="Arial" w:hAnsi="Arial" w:cs="Arial"/>
          <w:sz w:val="16"/>
          <w:szCs w:val="16"/>
        </w:rPr>
        <w:t xml:space="preserve"> e à</w:t>
      </w:r>
      <w:r w:rsidRPr="006C16BE">
        <w:rPr>
          <w:rFonts w:ascii="Arial" w:hAnsi="Arial" w:cs="Arial"/>
          <w:sz w:val="16"/>
          <w:szCs w:val="16"/>
        </w:rPr>
        <w:t xml:space="preserve"> países selecionados.</w:t>
      </w:r>
    </w:p>
  </w:footnote>
  <w:footnote w:id="5">
    <w:p w14:paraId="115C3477" w14:textId="1A0ED859" w:rsidR="00BE1B1D" w:rsidRPr="003F1D01" w:rsidRDefault="00BE1B1D" w:rsidP="006222BA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3F1D01">
        <w:rPr>
          <w:rStyle w:val="Refdenotaderodap"/>
          <w:rFonts w:ascii="Arial" w:hAnsi="Arial" w:cs="Arial"/>
          <w:sz w:val="16"/>
          <w:szCs w:val="16"/>
        </w:rPr>
        <w:footnoteRef/>
      </w:r>
      <w:r w:rsidRPr="003F1D01">
        <w:rPr>
          <w:rFonts w:ascii="Arial" w:hAnsi="Arial" w:cs="Arial"/>
          <w:sz w:val="16"/>
          <w:szCs w:val="16"/>
        </w:rPr>
        <w:t xml:space="preserve"> Estes três itens estão sintetizados no acrônimo P&amp;D.</w:t>
      </w:r>
    </w:p>
  </w:footnote>
  <w:footnote w:id="6">
    <w:p w14:paraId="013F8CB6" w14:textId="23E293EF" w:rsidR="00BE1B1D" w:rsidRPr="00A1739E" w:rsidRDefault="00BE1B1D" w:rsidP="00C11807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A1739E">
        <w:rPr>
          <w:rStyle w:val="Refdenotaderodap"/>
          <w:rFonts w:ascii="Arial" w:hAnsi="Arial" w:cs="Arial"/>
          <w:sz w:val="16"/>
          <w:szCs w:val="16"/>
        </w:rPr>
        <w:footnoteRef/>
      </w:r>
      <w:r w:rsidRPr="00A1739E">
        <w:rPr>
          <w:rFonts w:ascii="Arial" w:hAnsi="Arial" w:cs="Arial"/>
          <w:sz w:val="16"/>
          <w:szCs w:val="16"/>
        </w:rPr>
        <w:t xml:space="preserve"> Os investimentos em bens de capital e software diferem entre as atividades de P&amp;D e demais atividades </w:t>
      </w:r>
      <w:proofErr w:type="spellStart"/>
      <w:r w:rsidRPr="00A1739E">
        <w:rPr>
          <w:rFonts w:ascii="Arial" w:hAnsi="Arial" w:cs="Arial"/>
          <w:sz w:val="16"/>
          <w:szCs w:val="16"/>
        </w:rPr>
        <w:t>inovativas</w:t>
      </w:r>
      <w:proofErr w:type="spellEnd"/>
      <w:r w:rsidRPr="00A1739E">
        <w:rPr>
          <w:rFonts w:ascii="Arial" w:hAnsi="Arial" w:cs="Arial"/>
          <w:sz w:val="16"/>
          <w:szCs w:val="16"/>
        </w:rPr>
        <w:t xml:space="preserve">. No primeiro caso são aqueles necessários à </w:t>
      </w:r>
      <w:r>
        <w:rPr>
          <w:rFonts w:ascii="Arial" w:hAnsi="Arial" w:cs="Arial"/>
          <w:sz w:val="16"/>
          <w:szCs w:val="16"/>
        </w:rPr>
        <w:t>realização de P&amp;D</w:t>
      </w:r>
      <w:r w:rsidRPr="00A1739E">
        <w:rPr>
          <w:rFonts w:ascii="Arial" w:hAnsi="Arial" w:cs="Arial"/>
          <w:sz w:val="16"/>
          <w:szCs w:val="16"/>
        </w:rPr>
        <w:t xml:space="preserve">, </w:t>
      </w:r>
      <w:r w:rsidR="00523542">
        <w:rPr>
          <w:rFonts w:ascii="Arial" w:hAnsi="Arial" w:cs="Arial"/>
          <w:sz w:val="16"/>
          <w:szCs w:val="16"/>
        </w:rPr>
        <w:t xml:space="preserve">sendo inseridos nessa </w:t>
      </w:r>
      <w:r w:rsidR="00F961F0">
        <w:rPr>
          <w:rFonts w:ascii="Arial" w:hAnsi="Arial" w:cs="Arial"/>
          <w:sz w:val="16"/>
          <w:szCs w:val="16"/>
        </w:rPr>
        <w:t>ru</w:t>
      </w:r>
      <w:r w:rsidR="00523542">
        <w:rPr>
          <w:rFonts w:ascii="Arial" w:hAnsi="Arial" w:cs="Arial"/>
          <w:sz w:val="16"/>
          <w:szCs w:val="16"/>
        </w:rPr>
        <w:t xml:space="preserve">brica, </w:t>
      </w:r>
      <w:r w:rsidRPr="00A1739E">
        <w:rPr>
          <w:rFonts w:ascii="Arial" w:hAnsi="Arial" w:cs="Arial"/>
          <w:sz w:val="16"/>
          <w:szCs w:val="16"/>
        </w:rPr>
        <w:t xml:space="preserve">no segundo são aqueles requisitados para iniciar a produção incorporando a nova tecnologia. </w:t>
      </w:r>
    </w:p>
  </w:footnote>
  <w:footnote w:id="7">
    <w:p w14:paraId="523197F6" w14:textId="1D1B136A" w:rsidR="00BE1B1D" w:rsidRPr="00415A61" w:rsidRDefault="00BE1B1D" w:rsidP="00431517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431517">
        <w:rPr>
          <w:rStyle w:val="Refdenotaderodap"/>
          <w:rFonts w:ascii="Arial" w:hAnsi="Arial" w:cs="Arial"/>
          <w:sz w:val="16"/>
          <w:szCs w:val="16"/>
        </w:rPr>
        <w:footnoteRef/>
      </w:r>
      <w:r w:rsidRPr="0043151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highlight w:val="green"/>
        </w:rPr>
        <w:t xml:space="preserve">Cabe indicar que o fato de </w:t>
      </w:r>
      <w:r w:rsidRPr="00487421">
        <w:rPr>
          <w:rFonts w:ascii="Arial" w:hAnsi="Arial" w:cs="Arial"/>
          <w:sz w:val="16"/>
          <w:szCs w:val="16"/>
          <w:highlight w:val="green"/>
        </w:rPr>
        <w:t>a absorção passiva de con</w:t>
      </w:r>
      <w:r w:rsidR="00BA2B8D">
        <w:rPr>
          <w:rFonts w:ascii="Arial" w:hAnsi="Arial" w:cs="Arial"/>
          <w:sz w:val="16"/>
          <w:szCs w:val="16"/>
          <w:highlight w:val="green"/>
        </w:rPr>
        <w:t xml:space="preserve">hecimentos </w:t>
      </w:r>
      <w:proofErr w:type="gramStart"/>
      <w:r w:rsidR="00BA2B8D">
        <w:rPr>
          <w:rFonts w:ascii="Arial" w:hAnsi="Arial" w:cs="Arial"/>
          <w:sz w:val="16"/>
          <w:szCs w:val="16"/>
          <w:highlight w:val="green"/>
        </w:rPr>
        <w:t>tender</w:t>
      </w:r>
      <w:proofErr w:type="gramEnd"/>
      <w:r w:rsidR="00BA2B8D">
        <w:rPr>
          <w:rFonts w:ascii="Arial" w:hAnsi="Arial" w:cs="Arial"/>
          <w:sz w:val="16"/>
          <w:szCs w:val="16"/>
          <w:highlight w:val="green"/>
        </w:rPr>
        <w:t xml:space="preserve"> a gerar </w:t>
      </w:r>
      <w:r w:rsidRPr="00487421">
        <w:rPr>
          <w:rFonts w:ascii="Arial" w:hAnsi="Arial" w:cs="Arial"/>
          <w:sz w:val="16"/>
          <w:szCs w:val="16"/>
          <w:highlight w:val="green"/>
        </w:rPr>
        <w:t xml:space="preserve">ganho de conhecimento </w:t>
      </w:r>
      <w:r w:rsidR="00BA2B8D">
        <w:rPr>
          <w:rFonts w:ascii="Arial" w:hAnsi="Arial" w:cs="Arial"/>
          <w:sz w:val="16"/>
          <w:szCs w:val="16"/>
          <w:highlight w:val="green"/>
        </w:rPr>
        <w:t>que, em</w:t>
      </w:r>
      <w:r w:rsidR="006B532F">
        <w:rPr>
          <w:rFonts w:ascii="Arial" w:hAnsi="Arial" w:cs="Arial"/>
          <w:sz w:val="16"/>
          <w:szCs w:val="16"/>
          <w:highlight w:val="green"/>
        </w:rPr>
        <w:t xml:space="preserve"> geral, não é de posse particular</w:t>
      </w:r>
      <w:r w:rsidR="00BA2B8D">
        <w:rPr>
          <w:rFonts w:ascii="Arial" w:hAnsi="Arial" w:cs="Arial"/>
          <w:sz w:val="16"/>
          <w:szCs w:val="16"/>
          <w:highlight w:val="green"/>
        </w:rPr>
        <w:t xml:space="preserve"> da empresa, </w:t>
      </w:r>
      <w:r w:rsidRPr="00487421">
        <w:rPr>
          <w:rFonts w:ascii="Arial" w:hAnsi="Arial" w:cs="Arial"/>
          <w:sz w:val="16"/>
          <w:szCs w:val="16"/>
          <w:highlight w:val="green"/>
        </w:rPr>
        <w:t>não significa qu</w:t>
      </w:r>
      <w:r>
        <w:rPr>
          <w:rFonts w:ascii="Arial" w:hAnsi="Arial" w:cs="Arial"/>
          <w:sz w:val="16"/>
          <w:szCs w:val="16"/>
          <w:highlight w:val="green"/>
        </w:rPr>
        <w:t>e estas atividades de inovação n</w:t>
      </w:r>
      <w:r w:rsidRPr="00487421">
        <w:rPr>
          <w:rFonts w:ascii="Arial" w:hAnsi="Arial" w:cs="Arial"/>
          <w:sz w:val="16"/>
          <w:szCs w:val="16"/>
          <w:highlight w:val="green"/>
        </w:rPr>
        <w:t>ão s</w:t>
      </w:r>
      <w:r>
        <w:rPr>
          <w:rFonts w:ascii="Arial" w:hAnsi="Arial" w:cs="Arial"/>
          <w:sz w:val="16"/>
          <w:szCs w:val="16"/>
          <w:highlight w:val="green"/>
        </w:rPr>
        <w:t>ejam relevantes</w:t>
      </w:r>
      <w:r w:rsidR="002547CA">
        <w:rPr>
          <w:rFonts w:ascii="Arial" w:hAnsi="Arial" w:cs="Arial"/>
          <w:sz w:val="16"/>
          <w:szCs w:val="16"/>
          <w:highlight w:val="green"/>
        </w:rPr>
        <w:t xml:space="preserve"> como fonte de conhecimentos ou</w:t>
      </w:r>
      <w:r>
        <w:rPr>
          <w:rFonts w:ascii="Arial" w:hAnsi="Arial" w:cs="Arial"/>
          <w:sz w:val="16"/>
          <w:szCs w:val="16"/>
          <w:highlight w:val="green"/>
        </w:rPr>
        <w:t xml:space="preserve"> para que ela</w:t>
      </w:r>
      <w:r w:rsidRPr="00487421">
        <w:rPr>
          <w:rFonts w:ascii="Arial" w:hAnsi="Arial" w:cs="Arial"/>
          <w:sz w:val="16"/>
          <w:szCs w:val="16"/>
          <w:highlight w:val="green"/>
        </w:rPr>
        <w:t xml:space="preserve"> se mantenha </w:t>
      </w:r>
      <w:r w:rsidR="00BA2B8D">
        <w:rPr>
          <w:rFonts w:ascii="Arial" w:hAnsi="Arial" w:cs="Arial"/>
          <w:sz w:val="16"/>
          <w:szCs w:val="16"/>
          <w:highlight w:val="green"/>
        </w:rPr>
        <w:t xml:space="preserve">competitiva e </w:t>
      </w:r>
      <w:r w:rsidRPr="00487421">
        <w:rPr>
          <w:rFonts w:ascii="Arial" w:hAnsi="Arial" w:cs="Arial"/>
          <w:sz w:val="16"/>
          <w:szCs w:val="16"/>
          <w:highlight w:val="green"/>
        </w:rPr>
        <w:t>n</w:t>
      </w:r>
      <w:r w:rsidR="00D50CA9">
        <w:rPr>
          <w:rFonts w:ascii="Arial" w:hAnsi="Arial" w:cs="Arial"/>
          <w:sz w:val="16"/>
          <w:szCs w:val="16"/>
          <w:highlight w:val="green"/>
        </w:rPr>
        <w:t xml:space="preserve">a fronteira tecnológica, mesmo em setores </w:t>
      </w:r>
      <w:r w:rsidR="00D50CA9" w:rsidRPr="00D50CA9">
        <w:rPr>
          <w:rFonts w:ascii="Arial" w:hAnsi="Arial" w:cs="Arial"/>
          <w:i/>
          <w:sz w:val="16"/>
          <w:szCs w:val="16"/>
          <w:highlight w:val="green"/>
        </w:rPr>
        <w:t>high-tech</w:t>
      </w:r>
      <w:r w:rsidRPr="00487421">
        <w:rPr>
          <w:rFonts w:ascii="Arial" w:hAnsi="Arial" w:cs="Arial"/>
          <w:sz w:val="16"/>
          <w:szCs w:val="16"/>
          <w:highlight w:val="green"/>
        </w:rPr>
        <w:t>. Igualmente</w:t>
      </w:r>
      <w:r w:rsidR="00421DB5">
        <w:rPr>
          <w:rFonts w:ascii="Arial" w:hAnsi="Arial" w:cs="Arial"/>
          <w:sz w:val="16"/>
          <w:szCs w:val="16"/>
          <w:highlight w:val="green"/>
        </w:rPr>
        <w:t xml:space="preserve">, o fato de setores </w:t>
      </w:r>
      <w:proofErr w:type="spellStart"/>
      <w:r w:rsidR="00421DB5" w:rsidRPr="00421DB5">
        <w:rPr>
          <w:rFonts w:ascii="Arial" w:hAnsi="Arial" w:cs="Arial"/>
          <w:i/>
          <w:sz w:val="16"/>
          <w:szCs w:val="16"/>
          <w:highlight w:val="green"/>
        </w:rPr>
        <w:t>low</w:t>
      </w:r>
      <w:proofErr w:type="spellEnd"/>
      <w:r w:rsidR="00421DB5" w:rsidRPr="00421DB5">
        <w:rPr>
          <w:rFonts w:ascii="Arial" w:hAnsi="Arial" w:cs="Arial"/>
          <w:i/>
          <w:sz w:val="16"/>
          <w:szCs w:val="16"/>
          <w:highlight w:val="green"/>
        </w:rPr>
        <w:t>-tech</w:t>
      </w:r>
      <w:r w:rsidR="002C375B">
        <w:rPr>
          <w:rFonts w:ascii="Arial" w:hAnsi="Arial" w:cs="Arial"/>
          <w:sz w:val="16"/>
          <w:szCs w:val="16"/>
          <w:highlight w:val="green"/>
        </w:rPr>
        <w:t>, em geral,</w:t>
      </w:r>
      <w:r w:rsidRPr="00487421">
        <w:rPr>
          <w:rFonts w:ascii="Arial" w:hAnsi="Arial" w:cs="Arial"/>
          <w:sz w:val="16"/>
          <w:szCs w:val="16"/>
          <w:highlight w:val="green"/>
        </w:rPr>
        <w:t xml:space="preserve"> serem mais inte</w:t>
      </w:r>
      <w:r w:rsidR="002C375B">
        <w:rPr>
          <w:rFonts w:ascii="Arial" w:hAnsi="Arial" w:cs="Arial"/>
          <w:sz w:val="16"/>
          <w:szCs w:val="16"/>
          <w:highlight w:val="green"/>
        </w:rPr>
        <w:t>nsivos</w:t>
      </w:r>
      <w:r w:rsidRPr="00487421">
        <w:rPr>
          <w:rFonts w:ascii="Arial" w:hAnsi="Arial" w:cs="Arial"/>
          <w:sz w:val="16"/>
          <w:szCs w:val="16"/>
          <w:highlight w:val="green"/>
        </w:rPr>
        <w:t xml:space="preserve"> na absorção </w:t>
      </w:r>
      <w:r>
        <w:rPr>
          <w:rFonts w:ascii="Arial" w:hAnsi="Arial" w:cs="Arial"/>
          <w:sz w:val="16"/>
          <w:szCs w:val="16"/>
          <w:highlight w:val="green"/>
        </w:rPr>
        <w:t xml:space="preserve">passiva de tecnologia, </w:t>
      </w:r>
      <w:r w:rsidRPr="00487421">
        <w:rPr>
          <w:rFonts w:ascii="Arial" w:hAnsi="Arial" w:cs="Arial"/>
          <w:sz w:val="16"/>
          <w:szCs w:val="16"/>
          <w:highlight w:val="green"/>
        </w:rPr>
        <w:t xml:space="preserve">não retira a importância estratégica para a </w:t>
      </w:r>
      <w:r w:rsidR="002547CA">
        <w:rPr>
          <w:rFonts w:ascii="Arial" w:hAnsi="Arial" w:cs="Arial"/>
          <w:sz w:val="16"/>
          <w:szCs w:val="16"/>
          <w:highlight w:val="green"/>
        </w:rPr>
        <w:t xml:space="preserve">empresa das atividades </w:t>
      </w:r>
      <w:r w:rsidRPr="00487421">
        <w:rPr>
          <w:rFonts w:ascii="Arial" w:hAnsi="Arial" w:cs="Arial"/>
          <w:sz w:val="16"/>
          <w:szCs w:val="16"/>
          <w:highlight w:val="green"/>
        </w:rPr>
        <w:t>de P&amp;D</w:t>
      </w:r>
      <w:r>
        <w:rPr>
          <w:rFonts w:ascii="Arial" w:hAnsi="Arial" w:cs="Arial"/>
          <w:sz w:val="16"/>
          <w:szCs w:val="16"/>
          <w:highlight w:val="green"/>
        </w:rPr>
        <w:t xml:space="preserve"> para diferenciar produtos</w:t>
      </w:r>
      <w:r w:rsidR="0093023E">
        <w:rPr>
          <w:rFonts w:ascii="Arial" w:hAnsi="Arial" w:cs="Arial"/>
          <w:sz w:val="16"/>
          <w:szCs w:val="16"/>
          <w:highlight w:val="green"/>
        </w:rPr>
        <w:t xml:space="preserve"> e </w:t>
      </w:r>
      <w:r w:rsidR="005B7D70">
        <w:rPr>
          <w:rFonts w:ascii="Arial" w:hAnsi="Arial" w:cs="Arial"/>
          <w:sz w:val="16"/>
          <w:szCs w:val="16"/>
          <w:highlight w:val="green"/>
        </w:rPr>
        <w:t xml:space="preserve">para </w:t>
      </w:r>
      <w:r w:rsidR="0093023E">
        <w:rPr>
          <w:rFonts w:ascii="Arial" w:hAnsi="Arial" w:cs="Arial"/>
          <w:sz w:val="16"/>
          <w:szCs w:val="16"/>
          <w:highlight w:val="green"/>
        </w:rPr>
        <w:t>lançar novidades</w:t>
      </w:r>
      <w:r w:rsidRPr="00487421">
        <w:rPr>
          <w:rFonts w:ascii="Arial" w:hAnsi="Arial" w:cs="Arial"/>
          <w:sz w:val="16"/>
          <w:szCs w:val="16"/>
          <w:highlight w:val="green"/>
        </w:rPr>
        <w:t>.</w:t>
      </w:r>
    </w:p>
  </w:footnote>
  <w:footnote w:id="8">
    <w:p w14:paraId="32AD433B" w14:textId="0D7D108A" w:rsidR="00FB3851" w:rsidRPr="00415A61" w:rsidRDefault="00FB3851" w:rsidP="00FB3851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870C51">
        <w:rPr>
          <w:rStyle w:val="Refdenotaderodap"/>
          <w:rFonts w:ascii="Arial" w:hAnsi="Arial" w:cs="Arial"/>
          <w:sz w:val="16"/>
          <w:szCs w:val="16"/>
          <w:highlight w:val="green"/>
        </w:rPr>
        <w:footnoteRef/>
      </w:r>
      <w:r w:rsidRPr="00870C51">
        <w:rPr>
          <w:rFonts w:ascii="Arial" w:hAnsi="Arial" w:cs="Arial"/>
          <w:sz w:val="16"/>
          <w:szCs w:val="16"/>
          <w:highlight w:val="green"/>
        </w:rPr>
        <w:t xml:space="preserve"> </w:t>
      </w:r>
      <w:r w:rsidR="00773380">
        <w:rPr>
          <w:rFonts w:ascii="Arial" w:hAnsi="Arial" w:cs="Arial"/>
          <w:sz w:val="16"/>
          <w:szCs w:val="16"/>
          <w:highlight w:val="green"/>
        </w:rPr>
        <w:t>Esse é o universo de empresas cobertos</w:t>
      </w:r>
      <w:r w:rsidR="0004241D">
        <w:rPr>
          <w:rFonts w:ascii="Arial" w:hAnsi="Arial" w:cs="Arial"/>
          <w:sz w:val="16"/>
          <w:szCs w:val="16"/>
          <w:highlight w:val="green"/>
        </w:rPr>
        <w:t xml:space="preserve"> </w:t>
      </w:r>
      <w:r w:rsidR="00773380">
        <w:rPr>
          <w:rFonts w:ascii="Arial" w:hAnsi="Arial" w:cs="Arial"/>
          <w:sz w:val="16"/>
          <w:szCs w:val="16"/>
          <w:highlight w:val="green"/>
        </w:rPr>
        <w:t>pel</w:t>
      </w:r>
      <w:r w:rsidR="0004241D">
        <w:rPr>
          <w:rFonts w:ascii="Arial" w:hAnsi="Arial" w:cs="Arial"/>
          <w:sz w:val="16"/>
          <w:szCs w:val="16"/>
          <w:highlight w:val="green"/>
        </w:rPr>
        <w:t>a Pintec</w:t>
      </w:r>
      <w:r w:rsidR="00FC774C">
        <w:rPr>
          <w:rFonts w:ascii="Arial" w:hAnsi="Arial" w:cs="Arial"/>
          <w:sz w:val="16"/>
          <w:szCs w:val="16"/>
          <w:highlight w:val="green"/>
        </w:rPr>
        <w:t xml:space="preserve"> (IBGE)</w:t>
      </w:r>
      <w:r w:rsidR="00773380">
        <w:rPr>
          <w:rFonts w:ascii="Arial" w:hAnsi="Arial" w:cs="Arial"/>
          <w:sz w:val="16"/>
          <w:szCs w:val="16"/>
          <w:highlight w:val="green"/>
        </w:rPr>
        <w:t xml:space="preserve"> e pela</w:t>
      </w:r>
      <w:r w:rsidRPr="00E33F61">
        <w:rPr>
          <w:rFonts w:ascii="Arial" w:hAnsi="Arial" w:cs="Arial"/>
          <w:sz w:val="16"/>
          <w:szCs w:val="16"/>
          <w:highlight w:val="green"/>
        </w:rPr>
        <w:t xml:space="preserve"> </w:t>
      </w:r>
      <w:proofErr w:type="spellStart"/>
      <w:r w:rsidRPr="00E33F61">
        <w:rPr>
          <w:rFonts w:ascii="Arial" w:hAnsi="Arial" w:cs="Arial"/>
          <w:sz w:val="16"/>
          <w:szCs w:val="16"/>
          <w:highlight w:val="green"/>
        </w:rPr>
        <w:t>Community</w:t>
      </w:r>
      <w:proofErr w:type="spellEnd"/>
      <w:r w:rsidRPr="00E33F61">
        <w:rPr>
          <w:rFonts w:ascii="Arial" w:hAnsi="Arial" w:cs="Arial"/>
          <w:sz w:val="16"/>
          <w:szCs w:val="16"/>
          <w:highlight w:val="green"/>
        </w:rPr>
        <w:t xml:space="preserve"> </w:t>
      </w:r>
      <w:proofErr w:type="spellStart"/>
      <w:r w:rsidR="0004241D">
        <w:rPr>
          <w:rFonts w:ascii="Arial" w:hAnsi="Arial" w:cs="Arial"/>
          <w:sz w:val="16"/>
          <w:szCs w:val="16"/>
          <w:highlight w:val="green"/>
        </w:rPr>
        <w:t>Innovation</w:t>
      </w:r>
      <w:proofErr w:type="spellEnd"/>
      <w:r w:rsidR="0004241D">
        <w:rPr>
          <w:rFonts w:ascii="Arial" w:hAnsi="Arial" w:cs="Arial"/>
          <w:sz w:val="16"/>
          <w:szCs w:val="16"/>
          <w:highlight w:val="green"/>
        </w:rPr>
        <w:t xml:space="preserve"> </w:t>
      </w:r>
      <w:proofErr w:type="spellStart"/>
      <w:r w:rsidR="0004241D">
        <w:rPr>
          <w:rFonts w:ascii="Arial" w:hAnsi="Arial" w:cs="Arial"/>
          <w:sz w:val="16"/>
          <w:szCs w:val="16"/>
          <w:highlight w:val="green"/>
        </w:rPr>
        <w:t>Survey</w:t>
      </w:r>
      <w:proofErr w:type="spellEnd"/>
      <w:r w:rsidR="0004241D">
        <w:rPr>
          <w:rFonts w:ascii="Arial" w:hAnsi="Arial" w:cs="Arial"/>
          <w:sz w:val="16"/>
          <w:szCs w:val="16"/>
          <w:highlight w:val="green"/>
        </w:rPr>
        <w:t xml:space="preserve"> (CIS)</w:t>
      </w:r>
      <w:r w:rsidR="00FC774C">
        <w:rPr>
          <w:rFonts w:ascii="Arial" w:hAnsi="Arial" w:cs="Arial"/>
          <w:sz w:val="16"/>
          <w:szCs w:val="16"/>
          <w:highlight w:val="green"/>
        </w:rPr>
        <w:t xml:space="preserve"> (</w:t>
      </w:r>
      <w:proofErr w:type="spellStart"/>
      <w:r w:rsidR="00FC774C">
        <w:rPr>
          <w:rFonts w:ascii="Arial" w:hAnsi="Arial" w:cs="Arial"/>
          <w:sz w:val="16"/>
          <w:szCs w:val="16"/>
          <w:highlight w:val="green"/>
        </w:rPr>
        <w:t>Eurostat</w:t>
      </w:r>
      <w:proofErr w:type="spellEnd"/>
      <w:r w:rsidR="00FC774C">
        <w:rPr>
          <w:rFonts w:ascii="Arial" w:hAnsi="Arial" w:cs="Arial"/>
          <w:sz w:val="16"/>
          <w:szCs w:val="16"/>
          <w:highlight w:val="green"/>
        </w:rPr>
        <w:t>)</w:t>
      </w:r>
      <w:r w:rsidRPr="00E33F61">
        <w:rPr>
          <w:rFonts w:ascii="Arial" w:hAnsi="Arial" w:cs="Arial"/>
          <w:sz w:val="16"/>
          <w:szCs w:val="16"/>
          <w:highlight w:val="green"/>
        </w:rPr>
        <w:t>.</w:t>
      </w:r>
      <w:r w:rsidRPr="00415A61">
        <w:rPr>
          <w:rFonts w:ascii="Arial" w:hAnsi="Arial" w:cs="Arial"/>
          <w:sz w:val="16"/>
          <w:szCs w:val="16"/>
        </w:rPr>
        <w:t xml:space="preserve">  </w:t>
      </w:r>
    </w:p>
  </w:footnote>
  <w:footnote w:id="9">
    <w:p w14:paraId="6FE78BB9" w14:textId="0CE19CA7" w:rsidR="00BE1B1D" w:rsidRPr="00415A61" w:rsidRDefault="00BE1B1D" w:rsidP="003B4A81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3B4A81">
        <w:rPr>
          <w:rStyle w:val="Refdenotaderodap"/>
          <w:rFonts w:ascii="Arial" w:hAnsi="Arial" w:cs="Arial"/>
          <w:sz w:val="16"/>
          <w:szCs w:val="16"/>
        </w:rPr>
        <w:footnoteRef/>
      </w:r>
      <w:r w:rsidRPr="003B4A81">
        <w:rPr>
          <w:rFonts w:ascii="Arial" w:hAnsi="Arial" w:cs="Arial"/>
          <w:sz w:val="16"/>
          <w:szCs w:val="16"/>
        </w:rPr>
        <w:t xml:space="preserve"> Cálculos do autor com base em dados das </w:t>
      </w:r>
      <w:proofErr w:type="spellStart"/>
      <w:r w:rsidRPr="003B4A81">
        <w:rPr>
          <w:rFonts w:ascii="Arial" w:hAnsi="Arial" w:cs="Arial"/>
          <w:sz w:val="16"/>
          <w:szCs w:val="16"/>
        </w:rPr>
        <w:t>PINTECs</w:t>
      </w:r>
      <w:proofErr w:type="spellEnd"/>
      <w:r w:rsidRPr="003B4A81">
        <w:rPr>
          <w:rFonts w:ascii="Arial" w:hAnsi="Arial" w:cs="Arial"/>
          <w:sz w:val="16"/>
          <w:szCs w:val="16"/>
        </w:rPr>
        <w:t xml:space="preserve"> (IBGE, </w:t>
      </w:r>
      <w:r w:rsidRPr="003B4A81">
        <w:rPr>
          <w:rFonts w:ascii="Arial" w:eastAsia="Times New Roman" w:hAnsi="Arial" w:cs="Arial"/>
          <w:color w:val="000000"/>
          <w:spacing w:val="-8"/>
          <w:sz w:val="16"/>
          <w:szCs w:val="16"/>
        </w:rPr>
        <w:t>2007, 2010, 2013, 2016)</w:t>
      </w:r>
      <w:r>
        <w:rPr>
          <w:rFonts w:ascii="Arial" w:eastAsia="Times New Roman" w:hAnsi="Arial" w:cs="Arial"/>
          <w:color w:val="000000"/>
          <w:spacing w:val="-8"/>
          <w:sz w:val="16"/>
          <w:szCs w:val="16"/>
        </w:rPr>
        <w:t>.</w:t>
      </w:r>
      <w:r w:rsidRPr="003B4A81">
        <w:rPr>
          <w:rFonts w:ascii="Arial" w:hAnsi="Arial" w:cs="Arial"/>
          <w:sz w:val="16"/>
          <w:szCs w:val="16"/>
        </w:rPr>
        <w:t xml:space="preserve">  </w:t>
      </w:r>
    </w:p>
  </w:footnote>
  <w:footnote w:id="10">
    <w:p w14:paraId="6445B8E8" w14:textId="6BC3FAC0" w:rsidR="00BE1B1D" w:rsidRPr="00587CAB" w:rsidRDefault="00BE1B1D" w:rsidP="00587CAB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587CAB">
        <w:rPr>
          <w:rStyle w:val="Refdenotaderodap"/>
          <w:rFonts w:ascii="Arial" w:hAnsi="Arial" w:cs="Arial"/>
          <w:sz w:val="16"/>
          <w:szCs w:val="16"/>
        </w:rPr>
        <w:footnoteRef/>
      </w:r>
      <w:r w:rsidRPr="00587CAB">
        <w:rPr>
          <w:rFonts w:ascii="Arial" w:hAnsi="Arial" w:cs="Arial"/>
          <w:sz w:val="16"/>
          <w:szCs w:val="16"/>
        </w:rPr>
        <w:t xml:space="preserve"> Os dados absolutos referidos foram extraídos das respectivas </w:t>
      </w:r>
      <w:proofErr w:type="spellStart"/>
      <w:r w:rsidRPr="00587CAB">
        <w:rPr>
          <w:rFonts w:ascii="Arial" w:hAnsi="Arial" w:cs="Arial"/>
          <w:sz w:val="16"/>
          <w:szCs w:val="16"/>
        </w:rPr>
        <w:t>PINTECs</w:t>
      </w:r>
      <w:proofErr w:type="spellEnd"/>
      <w:r w:rsidRPr="00587CAB">
        <w:rPr>
          <w:rFonts w:ascii="Arial" w:hAnsi="Arial" w:cs="Arial"/>
          <w:sz w:val="16"/>
          <w:szCs w:val="16"/>
        </w:rPr>
        <w:t xml:space="preserve"> (IBGE, 2007, 2010, 2013, 2016). </w:t>
      </w:r>
    </w:p>
  </w:footnote>
  <w:footnote w:id="11">
    <w:p w14:paraId="49DD2F3C" w14:textId="1FA96945" w:rsidR="00BE1B1D" w:rsidRPr="008212CA" w:rsidRDefault="00BE1B1D" w:rsidP="000F0EA4">
      <w:pPr>
        <w:pStyle w:val="Textodenotaderodap"/>
        <w:ind w:firstLine="0"/>
        <w:rPr>
          <w:rFonts w:ascii="Arial" w:hAnsi="Arial"/>
          <w:sz w:val="16"/>
          <w:szCs w:val="16"/>
        </w:rPr>
      </w:pPr>
      <w:r w:rsidRPr="008212CA">
        <w:rPr>
          <w:rStyle w:val="Refdenotaderodap"/>
          <w:rFonts w:ascii="Arial" w:hAnsi="Arial"/>
          <w:sz w:val="16"/>
          <w:szCs w:val="16"/>
        </w:rPr>
        <w:footnoteRef/>
      </w:r>
      <w:r w:rsidRPr="008212CA">
        <w:rPr>
          <w:rFonts w:ascii="Arial" w:hAnsi="Arial"/>
          <w:sz w:val="16"/>
          <w:szCs w:val="16"/>
        </w:rPr>
        <w:t xml:space="preserve"> Cálculo com base em dados das </w:t>
      </w:r>
      <w:proofErr w:type="spellStart"/>
      <w:r w:rsidRPr="008212CA">
        <w:rPr>
          <w:rFonts w:ascii="Arial" w:hAnsi="Arial"/>
          <w:sz w:val="16"/>
          <w:szCs w:val="16"/>
        </w:rPr>
        <w:t>PINTECs</w:t>
      </w:r>
      <w:proofErr w:type="spellEnd"/>
      <w:r w:rsidRPr="008212CA">
        <w:rPr>
          <w:rFonts w:ascii="Arial" w:hAnsi="Arial"/>
          <w:sz w:val="16"/>
          <w:szCs w:val="16"/>
        </w:rPr>
        <w:t xml:space="preserve"> (IBGE, </w:t>
      </w:r>
      <w:r w:rsidRPr="008212CA">
        <w:rPr>
          <w:rFonts w:ascii="Arial" w:eastAsia="Times New Roman" w:hAnsi="Arial" w:cs="Arial"/>
          <w:color w:val="000000"/>
          <w:spacing w:val="-8"/>
          <w:sz w:val="16"/>
          <w:szCs w:val="16"/>
        </w:rPr>
        <w:t>2007, 2010, 2013, 2016).</w:t>
      </w:r>
    </w:p>
  </w:footnote>
  <w:footnote w:id="12">
    <w:p w14:paraId="180A884C" w14:textId="1C0B217A" w:rsidR="00BE1B1D" w:rsidRPr="00AA26D5" w:rsidRDefault="00BE1B1D" w:rsidP="00D6467C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AA26D5">
        <w:rPr>
          <w:rStyle w:val="Refdenotaderodap"/>
          <w:rFonts w:ascii="Arial" w:hAnsi="Arial" w:cs="Arial"/>
          <w:sz w:val="16"/>
          <w:szCs w:val="16"/>
        </w:rPr>
        <w:footnoteRef/>
      </w:r>
      <w:r w:rsidRPr="00AA26D5">
        <w:rPr>
          <w:rFonts w:ascii="Arial" w:hAnsi="Arial" w:cs="Arial"/>
          <w:sz w:val="16"/>
          <w:szCs w:val="16"/>
        </w:rPr>
        <w:t xml:space="preserve"> Mensura-se o esforço tecnológico total da indústria como a soma dos gastos em atividades internas de P&amp;D e com aquisição externa de P&amp;D relativo ao PIB total do país.</w:t>
      </w:r>
    </w:p>
  </w:footnote>
  <w:footnote w:id="13">
    <w:p w14:paraId="4A72800D" w14:textId="2E1E2F9A" w:rsidR="00BE1B1D" w:rsidRPr="00C83A6A" w:rsidRDefault="00BE1B1D" w:rsidP="00C83A6A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C83A6A">
        <w:rPr>
          <w:rStyle w:val="Refdenotaderodap"/>
          <w:rFonts w:ascii="Arial" w:hAnsi="Arial" w:cs="Arial"/>
          <w:sz w:val="16"/>
          <w:szCs w:val="16"/>
        </w:rPr>
        <w:footnoteRef/>
      </w:r>
      <w:r w:rsidRPr="00C83A6A">
        <w:rPr>
          <w:rFonts w:ascii="Arial" w:hAnsi="Arial" w:cs="Arial"/>
          <w:sz w:val="16"/>
          <w:szCs w:val="16"/>
        </w:rPr>
        <w:t xml:space="preserve"> Nas pesquisas de inovação, o número total de pessoal ocupado em P&amp;D nas empresas compreende aqueles exercendo cargos de pesquisador, técnicos e </w:t>
      </w:r>
      <w:r>
        <w:rPr>
          <w:rFonts w:ascii="Arial" w:hAnsi="Arial" w:cs="Arial"/>
          <w:sz w:val="16"/>
          <w:szCs w:val="16"/>
        </w:rPr>
        <w:t>auxiliar</w:t>
      </w:r>
      <w:r w:rsidRPr="00C83A6A">
        <w:rPr>
          <w:rFonts w:ascii="Arial" w:hAnsi="Arial" w:cs="Arial"/>
          <w:sz w:val="16"/>
          <w:szCs w:val="16"/>
        </w:rPr>
        <w:t>es.</w:t>
      </w:r>
      <w:r>
        <w:rPr>
          <w:rFonts w:ascii="Arial" w:hAnsi="Arial" w:cs="Arial"/>
          <w:sz w:val="16"/>
          <w:szCs w:val="16"/>
        </w:rPr>
        <w:t xml:space="preserve"> O nível de qualificação dos pesquisadores varia entre pós-graduados, graduados e nível médio ou fundamental, enquanto que para os técnicos divide-se entre graduados e nível médio ou fundamental.</w:t>
      </w:r>
    </w:p>
  </w:footnote>
  <w:footnote w:id="14">
    <w:p w14:paraId="0D9E8A66" w14:textId="7C5B3ACB" w:rsidR="00BE1B1D" w:rsidRPr="00016499" w:rsidRDefault="00BE1B1D" w:rsidP="00016499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016499">
        <w:rPr>
          <w:rStyle w:val="Refdenotaderodap"/>
          <w:rFonts w:ascii="Arial" w:hAnsi="Arial" w:cs="Arial"/>
          <w:sz w:val="16"/>
          <w:szCs w:val="16"/>
        </w:rPr>
        <w:footnoteRef/>
      </w:r>
      <w:r w:rsidRPr="00016499">
        <w:rPr>
          <w:rFonts w:ascii="Arial" w:hAnsi="Arial" w:cs="Arial"/>
          <w:sz w:val="16"/>
          <w:szCs w:val="16"/>
        </w:rPr>
        <w:t xml:space="preserve"> Taxas de crescimento calculadas com base nos dados da Tabela </w:t>
      </w:r>
      <w:r>
        <w:rPr>
          <w:rFonts w:ascii="Arial" w:hAnsi="Arial" w:cs="Arial"/>
          <w:sz w:val="16"/>
          <w:szCs w:val="16"/>
        </w:rPr>
        <w:t>4</w:t>
      </w:r>
      <w:r w:rsidRPr="00016499">
        <w:rPr>
          <w:rFonts w:ascii="Arial" w:hAnsi="Arial" w:cs="Arial"/>
          <w:sz w:val="16"/>
          <w:szCs w:val="16"/>
        </w:rPr>
        <w:t>.</w:t>
      </w:r>
    </w:p>
  </w:footnote>
  <w:footnote w:id="15">
    <w:p w14:paraId="6B594B5A" w14:textId="2E4EB068" w:rsidR="00BE1B1D" w:rsidRPr="005E4822" w:rsidRDefault="00BE1B1D" w:rsidP="00066812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5E4822">
        <w:rPr>
          <w:rStyle w:val="Refdenotaderodap"/>
          <w:rFonts w:ascii="Arial" w:hAnsi="Arial" w:cs="Arial"/>
          <w:sz w:val="16"/>
          <w:szCs w:val="16"/>
        </w:rPr>
        <w:footnoteRef/>
      </w:r>
      <w:r w:rsidRPr="005E4822">
        <w:rPr>
          <w:rFonts w:ascii="Arial" w:hAnsi="Arial" w:cs="Arial"/>
          <w:sz w:val="16"/>
          <w:szCs w:val="16"/>
        </w:rPr>
        <w:t xml:space="preserve"> As participações percentuais dos Estados e as taxas de crescimento nesse parágrafo foram calculadas com </w:t>
      </w:r>
      <w:r>
        <w:rPr>
          <w:rFonts w:ascii="Arial" w:hAnsi="Arial" w:cs="Arial"/>
          <w:sz w:val="16"/>
          <w:szCs w:val="16"/>
        </w:rPr>
        <w:t>base nas informações da Tabela 4</w:t>
      </w:r>
      <w:r w:rsidRPr="005E4822">
        <w:rPr>
          <w:rFonts w:ascii="Arial" w:hAnsi="Arial" w:cs="Arial"/>
          <w:sz w:val="16"/>
          <w:szCs w:val="16"/>
        </w:rPr>
        <w:t>.</w:t>
      </w:r>
    </w:p>
  </w:footnote>
  <w:footnote w:id="16">
    <w:p w14:paraId="7037FD89" w14:textId="2392A8F3" w:rsidR="00BE1B1D" w:rsidRPr="008F612A" w:rsidRDefault="00BE1B1D" w:rsidP="009E1437">
      <w:pPr>
        <w:pStyle w:val="Textodenotaderodap"/>
        <w:ind w:firstLine="0"/>
        <w:rPr>
          <w:rFonts w:ascii="Arial" w:hAnsi="Arial"/>
          <w:sz w:val="16"/>
          <w:szCs w:val="16"/>
        </w:rPr>
      </w:pPr>
      <w:r w:rsidRPr="008F612A">
        <w:rPr>
          <w:rStyle w:val="Refdenotaderodap"/>
          <w:rFonts w:ascii="Arial" w:hAnsi="Arial"/>
          <w:sz w:val="16"/>
          <w:szCs w:val="16"/>
        </w:rPr>
        <w:footnoteRef/>
      </w:r>
      <w:r w:rsidRPr="008F612A">
        <w:rPr>
          <w:rFonts w:ascii="Arial" w:hAnsi="Arial"/>
          <w:sz w:val="16"/>
          <w:szCs w:val="16"/>
        </w:rPr>
        <w:t xml:space="preserve"> Reconhece-se qu</w:t>
      </w:r>
      <w:r>
        <w:rPr>
          <w:rFonts w:ascii="Arial" w:hAnsi="Arial"/>
          <w:sz w:val="16"/>
          <w:szCs w:val="16"/>
        </w:rPr>
        <w:t xml:space="preserve">e essa aproximação não capta </w:t>
      </w:r>
      <w:r w:rsidRPr="008F612A">
        <w:rPr>
          <w:rFonts w:ascii="Arial" w:hAnsi="Arial"/>
          <w:sz w:val="16"/>
          <w:szCs w:val="16"/>
        </w:rPr>
        <w:t>o aspecto qualitativo da infraestrutura disponível à realização de P&amp;D interno</w:t>
      </w:r>
      <w:r>
        <w:rPr>
          <w:rFonts w:ascii="Arial" w:hAnsi="Arial"/>
          <w:sz w:val="16"/>
          <w:szCs w:val="16"/>
        </w:rPr>
        <w:t>, dentre outros aspectos limitantes</w:t>
      </w:r>
      <w:r w:rsidRPr="008F612A">
        <w:rPr>
          <w:rFonts w:ascii="Arial" w:hAnsi="Arial"/>
          <w:sz w:val="16"/>
          <w:szCs w:val="16"/>
        </w:rPr>
        <w:t>.</w:t>
      </w:r>
    </w:p>
  </w:footnote>
  <w:footnote w:id="17">
    <w:p w14:paraId="2F06662F" w14:textId="6550CE42" w:rsidR="00BE1B1D" w:rsidRPr="006423BA" w:rsidRDefault="00BE1B1D" w:rsidP="009E1437">
      <w:pPr>
        <w:pStyle w:val="Textodenotaderodap"/>
        <w:ind w:firstLine="0"/>
        <w:rPr>
          <w:rFonts w:ascii="Arial" w:hAnsi="Arial"/>
          <w:sz w:val="16"/>
          <w:szCs w:val="16"/>
        </w:rPr>
      </w:pPr>
      <w:r w:rsidRPr="006423BA">
        <w:rPr>
          <w:rStyle w:val="Refdenotaderodap"/>
          <w:rFonts w:ascii="Arial" w:hAnsi="Arial"/>
          <w:sz w:val="16"/>
          <w:szCs w:val="16"/>
        </w:rPr>
        <w:footnoteRef/>
      </w:r>
      <w:r w:rsidRPr="006423BA">
        <w:rPr>
          <w:rFonts w:ascii="Arial" w:hAnsi="Arial"/>
          <w:sz w:val="16"/>
          <w:szCs w:val="16"/>
        </w:rPr>
        <w:t xml:space="preserve"> As taxas de crescimento foram calculada</w:t>
      </w:r>
      <w:r>
        <w:rPr>
          <w:rFonts w:ascii="Arial" w:hAnsi="Arial"/>
          <w:sz w:val="16"/>
          <w:szCs w:val="16"/>
        </w:rPr>
        <w:t>s com base nos dados da Tabela 7</w:t>
      </w:r>
      <w:r w:rsidRPr="006423BA">
        <w:rPr>
          <w:rFonts w:ascii="Arial" w:hAnsi="Arial"/>
          <w:sz w:val="16"/>
          <w:szCs w:val="16"/>
        </w:rPr>
        <w:t>.</w:t>
      </w:r>
    </w:p>
  </w:footnote>
  <w:footnote w:id="18">
    <w:p w14:paraId="238AE4D4" w14:textId="2E33EBFA" w:rsidR="00BE1B1D" w:rsidRPr="00AE763B" w:rsidRDefault="00BE1B1D" w:rsidP="009E1437">
      <w:pPr>
        <w:pStyle w:val="Textodenotaderodap"/>
        <w:ind w:firstLine="0"/>
        <w:rPr>
          <w:rFonts w:ascii="Arial" w:hAnsi="Arial"/>
          <w:sz w:val="16"/>
          <w:szCs w:val="16"/>
        </w:rPr>
      </w:pPr>
      <w:r w:rsidRPr="00AE763B">
        <w:rPr>
          <w:rStyle w:val="Refdenotaderodap"/>
          <w:rFonts w:ascii="Arial" w:hAnsi="Arial"/>
          <w:sz w:val="16"/>
          <w:szCs w:val="16"/>
        </w:rPr>
        <w:footnoteRef/>
      </w:r>
      <w:r w:rsidRPr="00AE763B">
        <w:rPr>
          <w:rFonts w:ascii="Arial" w:hAnsi="Arial"/>
          <w:sz w:val="16"/>
          <w:szCs w:val="16"/>
        </w:rPr>
        <w:t xml:space="preserve"> Percentuais calculado</w:t>
      </w:r>
      <w:r>
        <w:rPr>
          <w:rFonts w:ascii="Arial" w:hAnsi="Arial"/>
          <w:sz w:val="16"/>
          <w:szCs w:val="16"/>
        </w:rPr>
        <w:t>s com base nos dados da Tabela 7</w:t>
      </w:r>
      <w:r w:rsidRPr="00AE763B">
        <w:rPr>
          <w:rFonts w:ascii="Arial" w:hAnsi="Arial"/>
          <w:sz w:val="16"/>
          <w:szCs w:val="16"/>
        </w:rPr>
        <w:t>.</w:t>
      </w:r>
    </w:p>
  </w:footnote>
  <w:footnote w:id="19">
    <w:p w14:paraId="227964FF" w14:textId="0B548FA4" w:rsidR="00BE1B1D" w:rsidRPr="009B4A51" w:rsidRDefault="00BE1B1D" w:rsidP="009E1437">
      <w:pPr>
        <w:pStyle w:val="Textodenotaderodap"/>
        <w:ind w:firstLine="0"/>
        <w:rPr>
          <w:rFonts w:ascii="Arial" w:hAnsi="Arial"/>
          <w:sz w:val="16"/>
          <w:szCs w:val="16"/>
        </w:rPr>
      </w:pPr>
      <w:r w:rsidRPr="003A0F80">
        <w:rPr>
          <w:rStyle w:val="Refdenotaderodap"/>
          <w:rFonts w:ascii="Arial" w:hAnsi="Arial"/>
          <w:sz w:val="16"/>
          <w:szCs w:val="16"/>
        </w:rPr>
        <w:footnoteRef/>
      </w:r>
      <w:r w:rsidRPr="003A0F80">
        <w:rPr>
          <w:rFonts w:ascii="Arial" w:hAnsi="Arial"/>
          <w:sz w:val="16"/>
          <w:szCs w:val="16"/>
        </w:rPr>
        <w:t xml:space="preserve"> Os percentuais foram obtidos pela divisão entre o número de empresas com dispêndios cont</w:t>
      </w:r>
      <w:r>
        <w:rPr>
          <w:rFonts w:ascii="Arial" w:hAnsi="Arial"/>
          <w:sz w:val="16"/>
          <w:szCs w:val="16"/>
        </w:rPr>
        <w:t>ínuos em P&amp;D interno da Tabela 8</w:t>
      </w:r>
      <w:r w:rsidRPr="003A0F80">
        <w:rPr>
          <w:rFonts w:ascii="Arial" w:hAnsi="Arial"/>
          <w:sz w:val="16"/>
          <w:szCs w:val="16"/>
        </w:rPr>
        <w:t xml:space="preserve"> e o total </w:t>
      </w:r>
      <w:r>
        <w:rPr>
          <w:rFonts w:ascii="Arial" w:hAnsi="Arial"/>
          <w:sz w:val="16"/>
          <w:szCs w:val="16"/>
        </w:rPr>
        <w:t xml:space="preserve">de empresas </w:t>
      </w:r>
      <w:r w:rsidRPr="003A0F80">
        <w:rPr>
          <w:rFonts w:ascii="Arial" w:hAnsi="Arial"/>
          <w:sz w:val="16"/>
          <w:szCs w:val="16"/>
        </w:rPr>
        <w:t xml:space="preserve">que investiu em atividades de inovação para </w:t>
      </w:r>
      <w:proofErr w:type="gramStart"/>
      <w:r w:rsidRPr="003A0F80">
        <w:rPr>
          <w:rFonts w:ascii="Arial" w:hAnsi="Arial"/>
          <w:sz w:val="16"/>
          <w:szCs w:val="16"/>
        </w:rPr>
        <w:t>i</w:t>
      </w:r>
      <w:r>
        <w:rPr>
          <w:rFonts w:ascii="Arial" w:hAnsi="Arial"/>
          <w:sz w:val="16"/>
          <w:szCs w:val="16"/>
        </w:rPr>
        <w:t>mplementar</w:t>
      </w:r>
      <w:proofErr w:type="gramEnd"/>
      <w:r>
        <w:rPr>
          <w:rFonts w:ascii="Arial" w:hAnsi="Arial"/>
          <w:sz w:val="16"/>
          <w:szCs w:val="16"/>
        </w:rPr>
        <w:t xml:space="preserve"> inovações da Tabela 7</w:t>
      </w:r>
      <w:r w:rsidRPr="003A0F80">
        <w:rPr>
          <w:rFonts w:ascii="Arial" w:hAnsi="Arial"/>
          <w:sz w:val="16"/>
          <w:szCs w:val="16"/>
        </w:rPr>
        <w:t>.</w:t>
      </w:r>
    </w:p>
  </w:footnote>
  <w:footnote w:id="20">
    <w:p w14:paraId="75C0266D" w14:textId="3270AAC2" w:rsidR="00BE1B1D" w:rsidRPr="00837C28" w:rsidRDefault="00BE1B1D" w:rsidP="007805C8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837C28">
        <w:rPr>
          <w:rStyle w:val="Refdenotaderodap"/>
          <w:rFonts w:ascii="Arial" w:hAnsi="Arial" w:cs="Arial"/>
          <w:sz w:val="16"/>
          <w:szCs w:val="16"/>
        </w:rPr>
        <w:footnoteRef/>
      </w:r>
      <w:r w:rsidRPr="00837C28">
        <w:rPr>
          <w:rFonts w:ascii="Arial" w:hAnsi="Arial" w:cs="Arial"/>
          <w:sz w:val="16"/>
          <w:szCs w:val="16"/>
        </w:rPr>
        <w:t xml:space="preserve"> Cálculos do autor com base em dados da PINTEC (IBGE, 2007, 2010, 2013, 2016). As taxas de inovação na indústria do Rio Grande do Sul por triênio foram de 36,5% em 2003-2005; 44,1% em 2006-2008; 42,2% em 2009-2011; e 41,7% em 2012-2014, enquanto que na do Brasil estas foram de respectivamente 33,4%; 38,1%, 35,6% e 36,4%. Nos três últimos triênios dessa série o Estado ocupou a primeira posição dentre aqueles com maior nível de industrialização no Brasil.</w:t>
      </w:r>
    </w:p>
  </w:footnote>
  <w:footnote w:id="21">
    <w:p w14:paraId="10B4A2BA" w14:textId="3448CB23" w:rsidR="00BE1B1D" w:rsidRPr="00837C28" w:rsidRDefault="00BE1B1D" w:rsidP="00B44771">
      <w:pPr>
        <w:pStyle w:val="Textodenotaderodap"/>
        <w:ind w:firstLine="0"/>
        <w:rPr>
          <w:rFonts w:ascii="Arial" w:hAnsi="Arial" w:cs="Arial"/>
          <w:sz w:val="16"/>
          <w:szCs w:val="16"/>
        </w:rPr>
      </w:pPr>
      <w:r w:rsidRPr="00837C28">
        <w:rPr>
          <w:rStyle w:val="Refdenotaderodap"/>
          <w:rFonts w:ascii="Arial" w:hAnsi="Arial" w:cs="Arial"/>
          <w:sz w:val="16"/>
          <w:szCs w:val="16"/>
        </w:rPr>
        <w:footnoteRef/>
      </w:r>
      <w:r w:rsidRPr="00837C28">
        <w:rPr>
          <w:rFonts w:ascii="Arial" w:hAnsi="Arial" w:cs="Arial"/>
          <w:sz w:val="16"/>
          <w:szCs w:val="16"/>
        </w:rPr>
        <w:t xml:space="preserve"> Cálculos do autor com base em dados da CIS 2014 (EUROSTAT, 2017). Alguns dos países com destaque na taxa de inovação na indústria em 2012-2014 foram Alemanha (68,6%), Finlândia (63,7%) e Suécia (56,6%), por exemplo.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A1F"/>
    <w:multiLevelType w:val="multilevel"/>
    <w:tmpl w:val="353EDA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37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9A0F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C20C43"/>
    <w:multiLevelType w:val="multilevel"/>
    <w:tmpl w:val="6682E5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674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0514A26"/>
    <w:multiLevelType w:val="multilevel"/>
    <w:tmpl w:val="4360190C"/>
    <w:numStyleLink w:val="CurrentList1"/>
  </w:abstractNum>
  <w:abstractNum w:abstractNumId="6">
    <w:nsid w:val="359E3D94"/>
    <w:multiLevelType w:val="multilevel"/>
    <w:tmpl w:val="4360190C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51D71"/>
    <w:multiLevelType w:val="hybridMultilevel"/>
    <w:tmpl w:val="78CA5BFA"/>
    <w:lvl w:ilvl="0" w:tplc="2B86429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B487CB3"/>
    <w:multiLevelType w:val="multilevel"/>
    <w:tmpl w:val="0409001F"/>
    <w:numStyleLink w:val="111111"/>
  </w:abstractNum>
  <w:abstractNum w:abstractNumId="9">
    <w:nsid w:val="3FD76415"/>
    <w:multiLevelType w:val="hybridMultilevel"/>
    <w:tmpl w:val="64E89D54"/>
    <w:lvl w:ilvl="0" w:tplc="E1C6EAF8">
      <w:start w:val="1"/>
      <w:numFmt w:val="decimal"/>
      <w:pStyle w:val="Ttulo3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B5947"/>
    <w:multiLevelType w:val="hybridMultilevel"/>
    <w:tmpl w:val="AEB4A18C"/>
    <w:lvl w:ilvl="0" w:tplc="4520418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D18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737454"/>
    <w:multiLevelType w:val="hybridMultilevel"/>
    <w:tmpl w:val="B2A2609C"/>
    <w:lvl w:ilvl="0" w:tplc="70306252">
      <w:start w:val="1"/>
      <w:numFmt w:val="decimal"/>
      <w:lvlText w:val="%1.1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820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6F5094"/>
    <w:multiLevelType w:val="multilevel"/>
    <w:tmpl w:val="6682E5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84403"/>
    <w:multiLevelType w:val="multilevel"/>
    <w:tmpl w:val="0409001F"/>
    <w:numStyleLink w:val="111111"/>
  </w:abstractNum>
  <w:abstractNum w:abstractNumId="16">
    <w:nsid w:val="73BD58C8"/>
    <w:multiLevelType w:val="multilevel"/>
    <w:tmpl w:val="81D89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F3A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D1"/>
    <w:rsid w:val="0000000C"/>
    <w:rsid w:val="0000016F"/>
    <w:rsid w:val="000004D5"/>
    <w:rsid w:val="00000F0D"/>
    <w:rsid w:val="000017EA"/>
    <w:rsid w:val="000027C1"/>
    <w:rsid w:val="00004A47"/>
    <w:rsid w:val="00004D86"/>
    <w:rsid w:val="0000593F"/>
    <w:rsid w:val="000061D0"/>
    <w:rsid w:val="0000646B"/>
    <w:rsid w:val="00006C00"/>
    <w:rsid w:val="00006D86"/>
    <w:rsid w:val="00007732"/>
    <w:rsid w:val="000106E3"/>
    <w:rsid w:val="00010B65"/>
    <w:rsid w:val="00010FEE"/>
    <w:rsid w:val="000127A5"/>
    <w:rsid w:val="00014EEF"/>
    <w:rsid w:val="00015040"/>
    <w:rsid w:val="0001541D"/>
    <w:rsid w:val="000160C2"/>
    <w:rsid w:val="00016499"/>
    <w:rsid w:val="00016631"/>
    <w:rsid w:val="00016FE4"/>
    <w:rsid w:val="0001705B"/>
    <w:rsid w:val="000171F2"/>
    <w:rsid w:val="00017492"/>
    <w:rsid w:val="00017603"/>
    <w:rsid w:val="00020046"/>
    <w:rsid w:val="000207AF"/>
    <w:rsid w:val="00020D5F"/>
    <w:rsid w:val="000210E3"/>
    <w:rsid w:val="000213B4"/>
    <w:rsid w:val="00021CC5"/>
    <w:rsid w:val="00021F67"/>
    <w:rsid w:val="00022118"/>
    <w:rsid w:val="00022F0D"/>
    <w:rsid w:val="0002338B"/>
    <w:rsid w:val="00023E1B"/>
    <w:rsid w:val="000252EC"/>
    <w:rsid w:val="0002546D"/>
    <w:rsid w:val="00026573"/>
    <w:rsid w:val="000268CB"/>
    <w:rsid w:val="00026973"/>
    <w:rsid w:val="00026E51"/>
    <w:rsid w:val="000278D9"/>
    <w:rsid w:val="00027BB0"/>
    <w:rsid w:val="000303A1"/>
    <w:rsid w:val="0003117E"/>
    <w:rsid w:val="00031283"/>
    <w:rsid w:val="0003168C"/>
    <w:rsid w:val="0003310B"/>
    <w:rsid w:val="000339BD"/>
    <w:rsid w:val="00033F8F"/>
    <w:rsid w:val="000345E6"/>
    <w:rsid w:val="000349B9"/>
    <w:rsid w:val="00035B9B"/>
    <w:rsid w:val="00036954"/>
    <w:rsid w:val="000373A6"/>
    <w:rsid w:val="000408E4"/>
    <w:rsid w:val="00041211"/>
    <w:rsid w:val="000418B1"/>
    <w:rsid w:val="00041921"/>
    <w:rsid w:val="00041CE4"/>
    <w:rsid w:val="000420E4"/>
    <w:rsid w:val="000421A9"/>
    <w:rsid w:val="0004241D"/>
    <w:rsid w:val="00042C06"/>
    <w:rsid w:val="00042C25"/>
    <w:rsid w:val="00042E3D"/>
    <w:rsid w:val="000432D8"/>
    <w:rsid w:val="00043346"/>
    <w:rsid w:val="0004399F"/>
    <w:rsid w:val="00043AEA"/>
    <w:rsid w:val="00045835"/>
    <w:rsid w:val="00045B63"/>
    <w:rsid w:val="00045ED3"/>
    <w:rsid w:val="00046249"/>
    <w:rsid w:val="0004643A"/>
    <w:rsid w:val="00046821"/>
    <w:rsid w:val="00046E7D"/>
    <w:rsid w:val="00047719"/>
    <w:rsid w:val="00047BD8"/>
    <w:rsid w:val="00047EDF"/>
    <w:rsid w:val="00050030"/>
    <w:rsid w:val="0005003A"/>
    <w:rsid w:val="000500B8"/>
    <w:rsid w:val="000504AA"/>
    <w:rsid w:val="000516BB"/>
    <w:rsid w:val="00051E6E"/>
    <w:rsid w:val="00052586"/>
    <w:rsid w:val="0005297B"/>
    <w:rsid w:val="00053FB0"/>
    <w:rsid w:val="00054027"/>
    <w:rsid w:val="00055960"/>
    <w:rsid w:val="00056412"/>
    <w:rsid w:val="000579F3"/>
    <w:rsid w:val="00057DC2"/>
    <w:rsid w:val="0006068D"/>
    <w:rsid w:val="00060FD8"/>
    <w:rsid w:val="00061928"/>
    <w:rsid w:val="0006200C"/>
    <w:rsid w:val="00063070"/>
    <w:rsid w:val="00063861"/>
    <w:rsid w:val="000639F1"/>
    <w:rsid w:val="00064186"/>
    <w:rsid w:val="00064AAE"/>
    <w:rsid w:val="00064B67"/>
    <w:rsid w:val="00064CC9"/>
    <w:rsid w:val="00064F9D"/>
    <w:rsid w:val="00066812"/>
    <w:rsid w:val="00066D94"/>
    <w:rsid w:val="000672AC"/>
    <w:rsid w:val="00067A8A"/>
    <w:rsid w:val="0007005F"/>
    <w:rsid w:val="0007085B"/>
    <w:rsid w:val="00070B07"/>
    <w:rsid w:val="00071AC8"/>
    <w:rsid w:val="000732F4"/>
    <w:rsid w:val="00073A60"/>
    <w:rsid w:val="00073EEA"/>
    <w:rsid w:val="000746DA"/>
    <w:rsid w:val="00074DE4"/>
    <w:rsid w:val="00076AF7"/>
    <w:rsid w:val="000772DF"/>
    <w:rsid w:val="000776C4"/>
    <w:rsid w:val="00080587"/>
    <w:rsid w:val="00080E06"/>
    <w:rsid w:val="00081670"/>
    <w:rsid w:val="00081957"/>
    <w:rsid w:val="000820C7"/>
    <w:rsid w:val="0008372F"/>
    <w:rsid w:val="00083886"/>
    <w:rsid w:val="000839F1"/>
    <w:rsid w:val="00084BBA"/>
    <w:rsid w:val="00085CF9"/>
    <w:rsid w:val="00086DFD"/>
    <w:rsid w:val="000875BA"/>
    <w:rsid w:val="00087ECA"/>
    <w:rsid w:val="000903FD"/>
    <w:rsid w:val="00090DAE"/>
    <w:rsid w:val="00091092"/>
    <w:rsid w:val="00091300"/>
    <w:rsid w:val="00091586"/>
    <w:rsid w:val="00091793"/>
    <w:rsid w:val="00092A7F"/>
    <w:rsid w:val="000930DA"/>
    <w:rsid w:val="000946A3"/>
    <w:rsid w:val="00095A24"/>
    <w:rsid w:val="00095A29"/>
    <w:rsid w:val="00096046"/>
    <w:rsid w:val="00096ABB"/>
    <w:rsid w:val="000973BF"/>
    <w:rsid w:val="00097475"/>
    <w:rsid w:val="000979AF"/>
    <w:rsid w:val="000A10FC"/>
    <w:rsid w:val="000A30C0"/>
    <w:rsid w:val="000A3B59"/>
    <w:rsid w:val="000A4585"/>
    <w:rsid w:val="000A4C58"/>
    <w:rsid w:val="000A5A18"/>
    <w:rsid w:val="000A6AA4"/>
    <w:rsid w:val="000A7A77"/>
    <w:rsid w:val="000A7E06"/>
    <w:rsid w:val="000B0481"/>
    <w:rsid w:val="000B0B2D"/>
    <w:rsid w:val="000B1577"/>
    <w:rsid w:val="000B2A39"/>
    <w:rsid w:val="000B489C"/>
    <w:rsid w:val="000B71D5"/>
    <w:rsid w:val="000B74B4"/>
    <w:rsid w:val="000B77DF"/>
    <w:rsid w:val="000B7C6F"/>
    <w:rsid w:val="000C1058"/>
    <w:rsid w:val="000C1DA4"/>
    <w:rsid w:val="000C2CBE"/>
    <w:rsid w:val="000C334E"/>
    <w:rsid w:val="000C346B"/>
    <w:rsid w:val="000C34BA"/>
    <w:rsid w:val="000C35E1"/>
    <w:rsid w:val="000C37D9"/>
    <w:rsid w:val="000C3EF7"/>
    <w:rsid w:val="000C3F15"/>
    <w:rsid w:val="000C4218"/>
    <w:rsid w:val="000C478C"/>
    <w:rsid w:val="000C51AC"/>
    <w:rsid w:val="000C63C3"/>
    <w:rsid w:val="000C64C2"/>
    <w:rsid w:val="000C74AE"/>
    <w:rsid w:val="000C7671"/>
    <w:rsid w:val="000C7CA7"/>
    <w:rsid w:val="000D0770"/>
    <w:rsid w:val="000D0ACD"/>
    <w:rsid w:val="000D13F7"/>
    <w:rsid w:val="000D1B19"/>
    <w:rsid w:val="000D1FE2"/>
    <w:rsid w:val="000D1FFB"/>
    <w:rsid w:val="000D27AC"/>
    <w:rsid w:val="000D28A6"/>
    <w:rsid w:val="000D3067"/>
    <w:rsid w:val="000D39AD"/>
    <w:rsid w:val="000D4B6D"/>
    <w:rsid w:val="000D4C47"/>
    <w:rsid w:val="000D4C71"/>
    <w:rsid w:val="000D51AA"/>
    <w:rsid w:val="000D54A6"/>
    <w:rsid w:val="000D6D5B"/>
    <w:rsid w:val="000D7A57"/>
    <w:rsid w:val="000D7CC7"/>
    <w:rsid w:val="000E0967"/>
    <w:rsid w:val="000E2556"/>
    <w:rsid w:val="000E3B11"/>
    <w:rsid w:val="000E44C0"/>
    <w:rsid w:val="000E47D0"/>
    <w:rsid w:val="000E49A4"/>
    <w:rsid w:val="000E56E1"/>
    <w:rsid w:val="000E5916"/>
    <w:rsid w:val="000E6767"/>
    <w:rsid w:val="000E74D8"/>
    <w:rsid w:val="000E78E9"/>
    <w:rsid w:val="000F050A"/>
    <w:rsid w:val="000F05CB"/>
    <w:rsid w:val="000F0EA4"/>
    <w:rsid w:val="000F166E"/>
    <w:rsid w:val="000F1CEE"/>
    <w:rsid w:val="000F1D8C"/>
    <w:rsid w:val="000F1DE2"/>
    <w:rsid w:val="000F36BA"/>
    <w:rsid w:val="000F3A7B"/>
    <w:rsid w:val="000F4BA4"/>
    <w:rsid w:val="000F4F1A"/>
    <w:rsid w:val="000F76A5"/>
    <w:rsid w:val="000F7AFB"/>
    <w:rsid w:val="001009F0"/>
    <w:rsid w:val="001012BF"/>
    <w:rsid w:val="00101583"/>
    <w:rsid w:val="0010193B"/>
    <w:rsid w:val="001030CD"/>
    <w:rsid w:val="00104187"/>
    <w:rsid w:val="00104E56"/>
    <w:rsid w:val="00105744"/>
    <w:rsid w:val="001058FA"/>
    <w:rsid w:val="001059B4"/>
    <w:rsid w:val="0010649B"/>
    <w:rsid w:val="00106E9A"/>
    <w:rsid w:val="00107139"/>
    <w:rsid w:val="0010747E"/>
    <w:rsid w:val="00107579"/>
    <w:rsid w:val="001079D3"/>
    <w:rsid w:val="001105E7"/>
    <w:rsid w:val="001105F8"/>
    <w:rsid w:val="00110D6D"/>
    <w:rsid w:val="001115E5"/>
    <w:rsid w:val="00111B87"/>
    <w:rsid w:val="00112D6F"/>
    <w:rsid w:val="00114EE5"/>
    <w:rsid w:val="0011575C"/>
    <w:rsid w:val="00115DB9"/>
    <w:rsid w:val="001167AD"/>
    <w:rsid w:val="001170CB"/>
    <w:rsid w:val="001172B8"/>
    <w:rsid w:val="0011792E"/>
    <w:rsid w:val="00117B96"/>
    <w:rsid w:val="00117BFE"/>
    <w:rsid w:val="001219BC"/>
    <w:rsid w:val="0012271A"/>
    <w:rsid w:val="00122AE5"/>
    <w:rsid w:val="0012457A"/>
    <w:rsid w:val="001248FF"/>
    <w:rsid w:val="00125AC3"/>
    <w:rsid w:val="00125CFA"/>
    <w:rsid w:val="00125FA5"/>
    <w:rsid w:val="00126BF6"/>
    <w:rsid w:val="00126F08"/>
    <w:rsid w:val="001276E1"/>
    <w:rsid w:val="00130A96"/>
    <w:rsid w:val="00131817"/>
    <w:rsid w:val="001330F8"/>
    <w:rsid w:val="00133DF0"/>
    <w:rsid w:val="00134BDD"/>
    <w:rsid w:val="00134CF6"/>
    <w:rsid w:val="001353C6"/>
    <w:rsid w:val="001365A3"/>
    <w:rsid w:val="00136796"/>
    <w:rsid w:val="00136E44"/>
    <w:rsid w:val="00137F92"/>
    <w:rsid w:val="00140639"/>
    <w:rsid w:val="00141333"/>
    <w:rsid w:val="00141EEC"/>
    <w:rsid w:val="001421FE"/>
    <w:rsid w:val="00142511"/>
    <w:rsid w:val="00143B66"/>
    <w:rsid w:val="00144082"/>
    <w:rsid w:val="0014465B"/>
    <w:rsid w:val="00144BAF"/>
    <w:rsid w:val="00145081"/>
    <w:rsid w:val="0014510A"/>
    <w:rsid w:val="001451DE"/>
    <w:rsid w:val="00145683"/>
    <w:rsid w:val="00145860"/>
    <w:rsid w:val="001466A1"/>
    <w:rsid w:val="00146952"/>
    <w:rsid w:val="00146DF8"/>
    <w:rsid w:val="00147242"/>
    <w:rsid w:val="00147518"/>
    <w:rsid w:val="0014798D"/>
    <w:rsid w:val="001479D2"/>
    <w:rsid w:val="00147FEC"/>
    <w:rsid w:val="00150DED"/>
    <w:rsid w:val="00151563"/>
    <w:rsid w:val="0015282C"/>
    <w:rsid w:val="00152C9D"/>
    <w:rsid w:val="00152DD4"/>
    <w:rsid w:val="00153850"/>
    <w:rsid w:val="00153D53"/>
    <w:rsid w:val="00154523"/>
    <w:rsid w:val="00154D52"/>
    <w:rsid w:val="00154E1C"/>
    <w:rsid w:val="0015530F"/>
    <w:rsid w:val="0015623A"/>
    <w:rsid w:val="001568A6"/>
    <w:rsid w:val="00156C90"/>
    <w:rsid w:val="001573D5"/>
    <w:rsid w:val="001576A0"/>
    <w:rsid w:val="00157A53"/>
    <w:rsid w:val="00157E06"/>
    <w:rsid w:val="0016089D"/>
    <w:rsid w:val="00160A5C"/>
    <w:rsid w:val="00160AE8"/>
    <w:rsid w:val="00160BBF"/>
    <w:rsid w:val="00161616"/>
    <w:rsid w:val="001621D5"/>
    <w:rsid w:val="0016239A"/>
    <w:rsid w:val="001624C4"/>
    <w:rsid w:val="00163616"/>
    <w:rsid w:val="0016434B"/>
    <w:rsid w:val="00165615"/>
    <w:rsid w:val="00165BF7"/>
    <w:rsid w:val="00167098"/>
    <w:rsid w:val="00167B57"/>
    <w:rsid w:val="00167BD2"/>
    <w:rsid w:val="00170E92"/>
    <w:rsid w:val="0017101A"/>
    <w:rsid w:val="0017104C"/>
    <w:rsid w:val="00171411"/>
    <w:rsid w:val="00171E96"/>
    <w:rsid w:val="00172DD3"/>
    <w:rsid w:val="0017324B"/>
    <w:rsid w:val="00173890"/>
    <w:rsid w:val="00174ACF"/>
    <w:rsid w:val="00175792"/>
    <w:rsid w:val="00175FAB"/>
    <w:rsid w:val="00175FC2"/>
    <w:rsid w:val="00176125"/>
    <w:rsid w:val="00176400"/>
    <w:rsid w:val="00176A65"/>
    <w:rsid w:val="0017788E"/>
    <w:rsid w:val="001779C9"/>
    <w:rsid w:val="001803C3"/>
    <w:rsid w:val="001811BB"/>
    <w:rsid w:val="001819CE"/>
    <w:rsid w:val="00183264"/>
    <w:rsid w:val="001838B8"/>
    <w:rsid w:val="00183A2E"/>
    <w:rsid w:val="0018446D"/>
    <w:rsid w:val="001844AA"/>
    <w:rsid w:val="001844EF"/>
    <w:rsid w:val="001847B0"/>
    <w:rsid w:val="001851D1"/>
    <w:rsid w:val="00185255"/>
    <w:rsid w:val="00185879"/>
    <w:rsid w:val="001858C7"/>
    <w:rsid w:val="001860B7"/>
    <w:rsid w:val="00186567"/>
    <w:rsid w:val="00186D28"/>
    <w:rsid w:val="0018716E"/>
    <w:rsid w:val="001871EA"/>
    <w:rsid w:val="0018778A"/>
    <w:rsid w:val="001879FC"/>
    <w:rsid w:val="00187B39"/>
    <w:rsid w:val="00187E38"/>
    <w:rsid w:val="0019049C"/>
    <w:rsid w:val="001905A8"/>
    <w:rsid w:val="00190748"/>
    <w:rsid w:val="0019084E"/>
    <w:rsid w:val="0019303A"/>
    <w:rsid w:val="0019307F"/>
    <w:rsid w:val="0019344B"/>
    <w:rsid w:val="00193969"/>
    <w:rsid w:val="00195AFB"/>
    <w:rsid w:val="001A0584"/>
    <w:rsid w:val="001A130E"/>
    <w:rsid w:val="001A1CDD"/>
    <w:rsid w:val="001A254A"/>
    <w:rsid w:val="001A2561"/>
    <w:rsid w:val="001A2EF2"/>
    <w:rsid w:val="001A41FF"/>
    <w:rsid w:val="001A4945"/>
    <w:rsid w:val="001A4CA0"/>
    <w:rsid w:val="001A6DB2"/>
    <w:rsid w:val="001A70F4"/>
    <w:rsid w:val="001A74BE"/>
    <w:rsid w:val="001B050E"/>
    <w:rsid w:val="001B3459"/>
    <w:rsid w:val="001B3E7F"/>
    <w:rsid w:val="001B4141"/>
    <w:rsid w:val="001B47EF"/>
    <w:rsid w:val="001B4BEC"/>
    <w:rsid w:val="001B4E4B"/>
    <w:rsid w:val="001B4F9C"/>
    <w:rsid w:val="001B5942"/>
    <w:rsid w:val="001C0216"/>
    <w:rsid w:val="001C0242"/>
    <w:rsid w:val="001C06EE"/>
    <w:rsid w:val="001C09FF"/>
    <w:rsid w:val="001C291A"/>
    <w:rsid w:val="001C2D07"/>
    <w:rsid w:val="001C2EB6"/>
    <w:rsid w:val="001C36D4"/>
    <w:rsid w:val="001C45CA"/>
    <w:rsid w:val="001C4879"/>
    <w:rsid w:val="001C5361"/>
    <w:rsid w:val="001C62E7"/>
    <w:rsid w:val="001C64F1"/>
    <w:rsid w:val="001C7004"/>
    <w:rsid w:val="001C7905"/>
    <w:rsid w:val="001C7A0B"/>
    <w:rsid w:val="001D04F0"/>
    <w:rsid w:val="001D0B13"/>
    <w:rsid w:val="001D0D10"/>
    <w:rsid w:val="001D150D"/>
    <w:rsid w:val="001D15BF"/>
    <w:rsid w:val="001D24B3"/>
    <w:rsid w:val="001D2D75"/>
    <w:rsid w:val="001D326F"/>
    <w:rsid w:val="001D47FE"/>
    <w:rsid w:val="001D59DA"/>
    <w:rsid w:val="001D7953"/>
    <w:rsid w:val="001D7F85"/>
    <w:rsid w:val="001E010A"/>
    <w:rsid w:val="001E019B"/>
    <w:rsid w:val="001E03AE"/>
    <w:rsid w:val="001E0708"/>
    <w:rsid w:val="001E092F"/>
    <w:rsid w:val="001E09A8"/>
    <w:rsid w:val="001E0E5E"/>
    <w:rsid w:val="001E22DF"/>
    <w:rsid w:val="001E4101"/>
    <w:rsid w:val="001E423B"/>
    <w:rsid w:val="001E5461"/>
    <w:rsid w:val="001E5A82"/>
    <w:rsid w:val="001E5C91"/>
    <w:rsid w:val="001E616E"/>
    <w:rsid w:val="001E6F92"/>
    <w:rsid w:val="001E7DEA"/>
    <w:rsid w:val="001E7E75"/>
    <w:rsid w:val="001F18F7"/>
    <w:rsid w:val="001F1E04"/>
    <w:rsid w:val="001F3305"/>
    <w:rsid w:val="001F35BC"/>
    <w:rsid w:val="001F371E"/>
    <w:rsid w:val="001F46BA"/>
    <w:rsid w:val="001F4CBB"/>
    <w:rsid w:val="001F65EB"/>
    <w:rsid w:val="001F6726"/>
    <w:rsid w:val="001F68BC"/>
    <w:rsid w:val="001F7D1B"/>
    <w:rsid w:val="001F7FF6"/>
    <w:rsid w:val="00200B27"/>
    <w:rsid w:val="00200C0C"/>
    <w:rsid w:val="00200C32"/>
    <w:rsid w:val="00201065"/>
    <w:rsid w:val="00201158"/>
    <w:rsid w:val="002013DB"/>
    <w:rsid w:val="00201A98"/>
    <w:rsid w:val="0020223B"/>
    <w:rsid w:val="00202FF3"/>
    <w:rsid w:val="00203C49"/>
    <w:rsid w:val="00204BC4"/>
    <w:rsid w:val="00205833"/>
    <w:rsid w:val="002064A2"/>
    <w:rsid w:val="00206933"/>
    <w:rsid w:val="00206E1B"/>
    <w:rsid w:val="00206EC1"/>
    <w:rsid w:val="00207446"/>
    <w:rsid w:val="002077AB"/>
    <w:rsid w:val="00207875"/>
    <w:rsid w:val="00207A2F"/>
    <w:rsid w:val="00207BD6"/>
    <w:rsid w:val="00207BF7"/>
    <w:rsid w:val="00210355"/>
    <w:rsid w:val="002111D9"/>
    <w:rsid w:val="002124BF"/>
    <w:rsid w:val="0021349C"/>
    <w:rsid w:val="00213AD8"/>
    <w:rsid w:val="00213D21"/>
    <w:rsid w:val="0021500C"/>
    <w:rsid w:val="00215491"/>
    <w:rsid w:val="0021678A"/>
    <w:rsid w:val="002179FD"/>
    <w:rsid w:val="00220059"/>
    <w:rsid w:val="00220756"/>
    <w:rsid w:val="00221096"/>
    <w:rsid w:val="00221B02"/>
    <w:rsid w:val="00221B40"/>
    <w:rsid w:val="00221E58"/>
    <w:rsid w:val="002224F9"/>
    <w:rsid w:val="002238A0"/>
    <w:rsid w:val="00224913"/>
    <w:rsid w:val="00225328"/>
    <w:rsid w:val="0022533C"/>
    <w:rsid w:val="002255B9"/>
    <w:rsid w:val="00225D4A"/>
    <w:rsid w:val="00226AE1"/>
    <w:rsid w:val="00226BC3"/>
    <w:rsid w:val="00227785"/>
    <w:rsid w:val="00227D79"/>
    <w:rsid w:val="00227ED7"/>
    <w:rsid w:val="002302BA"/>
    <w:rsid w:val="002303C1"/>
    <w:rsid w:val="00231156"/>
    <w:rsid w:val="002318FA"/>
    <w:rsid w:val="00231CEC"/>
    <w:rsid w:val="00232101"/>
    <w:rsid w:val="00232273"/>
    <w:rsid w:val="00232CCD"/>
    <w:rsid w:val="00233979"/>
    <w:rsid w:val="00233B3F"/>
    <w:rsid w:val="0023446B"/>
    <w:rsid w:val="00234569"/>
    <w:rsid w:val="00235BA2"/>
    <w:rsid w:val="00235C4F"/>
    <w:rsid w:val="00235DBE"/>
    <w:rsid w:val="00235DC9"/>
    <w:rsid w:val="00236BDF"/>
    <w:rsid w:val="00236D0A"/>
    <w:rsid w:val="00236E78"/>
    <w:rsid w:val="00236F48"/>
    <w:rsid w:val="00237284"/>
    <w:rsid w:val="002372A3"/>
    <w:rsid w:val="00240381"/>
    <w:rsid w:val="00240818"/>
    <w:rsid w:val="00240A51"/>
    <w:rsid w:val="00240A60"/>
    <w:rsid w:val="00241335"/>
    <w:rsid w:val="00243CDA"/>
    <w:rsid w:val="00243E7A"/>
    <w:rsid w:val="00244285"/>
    <w:rsid w:val="00244A31"/>
    <w:rsid w:val="00244E49"/>
    <w:rsid w:val="002452EA"/>
    <w:rsid w:val="00245D53"/>
    <w:rsid w:val="00245DC2"/>
    <w:rsid w:val="00246BA1"/>
    <w:rsid w:val="00247B1B"/>
    <w:rsid w:val="00250577"/>
    <w:rsid w:val="002510F7"/>
    <w:rsid w:val="00251240"/>
    <w:rsid w:val="00252178"/>
    <w:rsid w:val="00252385"/>
    <w:rsid w:val="00252726"/>
    <w:rsid w:val="002537AE"/>
    <w:rsid w:val="00253FC2"/>
    <w:rsid w:val="00254131"/>
    <w:rsid w:val="0025455E"/>
    <w:rsid w:val="002547CA"/>
    <w:rsid w:val="002547CD"/>
    <w:rsid w:val="00254C68"/>
    <w:rsid w:val="002551DB"/>
    <w:rsid w:val="002562B4"/>
    <w:rsid w:val="00257F84"/>
    <w:rsid w:val="0026004C"/>
    <w:rsid w:val="00261389"/>
    <w:rsid w:val="00261C5F"/>
    <w:rsid w:val="00263099"/>
    <w:rsid w:val="00263CC5"/>
    <w:rsid w:val="00263F33"/>
    <w:rsid w:val="00264754"/>
    <w:rsid w:val="00264A89"/>
    <w:rsid w:val="00264ED1"/>
    <w:rsid w:val="00264EF1"/>
    <w:rsid w:val="00265BDF"/>
    <w:rsid w:val="00266C57"/>
    <w:rsid w:val="00266D7A"/>
    <w:rsid w:val="00266E29"/>
    <w:rsid w:val="00270960"/>
    <w:rsid w:val="002711AB"/>
    <w:rsid w:val="00271B75"/>
    <w:rsid w:val="002722CD"/>
    <w:rsid w:val="0027309F"/>
    <w:rsid w:val="00273636"/>
    <w:rsid w:val="00274438"/>
    <w:rsid w:val="00274A6A"/>
    <w:rsid w:val="002750FE"/>
    <w:rsid w:val="00275B95"/>
    <w:rsid w:val="0027663B"/>
    <w:rsid w:val="0027666C"/>
    <w:rsid w:val="002806D3"/>
    <w:rsid w:val="00281616"/>
    <w:rsid w:val="00281D9C"/>
    <w:rsid w:val="00281F9C"/>
    <w:rsid w:val="00282775"/>
    <w:rsid w:val="00282D71"/>
    <w:rsid w:val="002834D7"/>
    <w:rsid w:val="002836B7"/>
    <w:rsid w:val="00283BAC"/>
    <w:rsid w:val="00283ED3"/>
    <w:rsid w:val="00284DBF"/>
    <w:rsid w:val="00285D0A"/>
    <w:rsid w:val="00285E66"/>
    <w:rsid w:val="0028674C"/>
    <w:rsid w:val="00290985"/>
    <w:rsid w:val="00291001"/>
    <w:rsid w:val="00292EBB"/>
    <w:rsid w:val="00293D2D"/>
    <w:rsid w:val="002944F2"/>
    <w:rsid w:val="0029612A"/>
    <w:rsid w:val="002966F5"/>
    <w:rsid w:val="00296759"/>
    <w:rsid w:val="002967C6"/>
    <w:rsid w:val="00296B69"/>
    <w:rsid w:val="002979EC"/>
    <w:rsid w:val="00297F0C"/>
    <w:rsid w:val="002A094F"/>
    <w:rsid w:val="002A1097"/>
    <w:rsid w:val="002A122C"/>
    <w:rsid w:val="002A2536"/>
    <w:rsid w:val="002A311B"/>
    <w:rsid w:val="002A3FB6"/>
    <w:rsid w:val="002A3FD6"/>
    <w:rsid w:val="002A5413"/>
    <w:rsid w:val="002A56F8"/>
    <w:rsid w:val="002A5744"/>
    <w:rsid w:val="002A5912"/>
    <w:rsid w:val="002A791A"/>
    <w:rsid w:val="002B0020"/>
    <w:rsid w:val="002B0A00"/>
    <w:rsid w:val="002B0D30"/>
    <w:rsid w:val="002B11B9"/>
    <w:rsid w:val="002B128F"/>
    <w:rsid w:val="002B1C82"/>
    <w:rsid w:val="002B352B"/>
    <w:rsid w:val="002B3A6D"/>
    <w:rsid w:val="002B5AA3"/>
    <w:rsid w:val="002B5EB1"/>
    <w:rsid w:val="002B6910"/>
    <w:rsid w:val="002B6A0B"/>
    <w:rsid w:val="002B6D33"/>
    <w:rsid w:val="002B759A"/>
    <w:rsid w:val="002B7938"/>
    <w:rsid w:val="002B793E"/>
    <w:rsid w:val="002B7C69"/>
    <w:rsid w:val="002C0E64"/>
    <w:rsid w:val="002C19D8"/>
    <w:rsid w:val="002C1D9D"/>
    <w:rsid w:val="002C24E9"/>
    <w:rsid w:val="002C281B"/>
    <w:rsid w:val="002C2845"/>
    <w:rsid w:val="002C2A20"/>
    <w:rsid w:val="002C316E"/>
    <w:rsid w:val="002C34AB"/>
    <w:rsid w:val="002C375B"/>
    <w:rsid w:val="002C46E8"/>
    <w:rsid w:val="002C4B0D"/>
    <w:rsid w:val="002C5512"/>
    <w:rsid w:val="002C5A96"/>
    <w:rsid w:val="002C6151"/>
    <w:rsid w:val="002C64D6"/>
    <w:rsid w:val="002C745F"/>
    <w:rsid w:val="002D05BE"/>
    <w:rsid w:val="002D06FA"/>
    <w:rsid w:val="002D10C3"/>
    <w:rsid w:val="002D19DA"/>
    <w:rsid w:val="002D26D7"/>
    <w:rsid w:val="002D2BA7"/>
    <w:rsid w:val="002D2E1A"/>
    <w:rsid w:val="002D3106"/>
    <w:rsid w:val="002D361F"/>
    <w:rsid w:val="002D3EA4"/>
    <w:rsid w:val="002D3F59"/>
    <w:rsid w:val="002D4385"/>
    <w:rsid w:val="002D49BC"/>
    <w:rsid w:val="002D55BD"/>
    <w:rsid w:val="002D5CC7"/>
    <w:rsid w:val="002D63FE"/>
    <w:rsid w:val="002D6B33"/>
    <w:rsid w:val="002D6D83"/>
    <w:rsid w:val="002E097A"/>
    <w:rsid w:val="002E16AA"/>
    <w:rsid w:val="002E1E63"/>
    <w:rsid w:val="002E206E"/>
    <w:rsid w:val="002E29F8"/>
    <w:rsid w:val="002E2B88"/>
    <w:rsid w:val="002E2CCD"/>
    <w:rsid w:val="002E356D"/>
    <w:rsid w:val="002E3A9A"/>
    <w:rsid w:val="002E3C7A"/>
    <w:rsid w:val="002E44E9"/>
    <w:rsid w:val="002E457B"/>
    <w:rsid w:val="002E56D3"/>
    <w:rsid w:val="002E6E80"/>
    <w:rsid w:val="002E73A6"/>
    <w:rsid w:val="002E75E4"/>
    <w:rsid w:val="002E7ACE"/>
    <w:rsid w:val="002F0578"/>
    <w:rsid w:val="002F10C3"/>
    <w:rsid w:val="002F20D1"/>
    <w:rsid w:val="002F2225"/>
    <w:rsid w:val="002F36A9"/>
    <w:rsid w:val="002F3C3D"/>
    <w:rsid w:val="002F3CDF"/>
    <w:rsid w:val="002F3E12"/>
    <w:rsid w:val="002F3E72"/>
    <w:rsid w:val="002F4660"/>
    <w:rsid w:val="002F556C"/>
    <w:rsid w:val="002F5F59"/>
    <w:rsid w:val="002F74D7"/>
    <w:rsid w:val="002F7AE4"/>
    <w:rsid w:val="0030008B"/>
    <w:rsid w:val="00300365"/>
    <w:rsid w:val="00300D84"/>
    <w:rsid w:val="0030226E"/>
    <w:rsid w:val="00302B20"/>
    <w:rsid w:val="00302EE3"/>
    <w:rsid w:val="003033D3"/>
    <w:rsid w:val="0030350F"/>
    <w:rsid w:val="003036D7"/>
    <w:rsid w:val="00303908"/>
    <w:rsid w:val="00303F37"/>
    <w:rsid w:val="00305C5D"/>
    <w:rsid w:val="0030655A"/>
    <w:rsid w:val="00306F52"/>
    <w:rsid w:val="00311D38"/>
    <w:rsid w:val="00311FA5"/>
    <w:rsid w:val="003124B7"/>
    <w:rsid w:val="003127BD"/>
    <w:rsid w:val="00313677"/>
    <w:rsid w:val="00314867"/>
    <w:rsid w:val="00314FA6"/>
    <w:rsid w:val="00316009"/>
    <w:rsid w:val="003164AB"/>
    <w:rsid w:val="00320494"/>
    <w:rsid w:val="00322B71"/>
    <w:rsid w:val="0032313E"/>
    <w:rsid w:val="0032408B"/>
    <w:rsid w:val="0032429D"/>
    <w:rsid w:val="00325899"/>
    <w:rsid w:val="00325AD7"/>
    <w:rsid w:val="00326005"/>
    <w:rsid w:val="003269DA"/>
    <w:rsid w:val="00330CF1"/>
    <w:rsid w:val="003314BC"/>
    <w:rsid w:val="003317F0"/>
    <w:rsid w:val="00331909"/>
    <w:rsid w:val="0033241A"/>
    <w:rsid w:val="00332A41"/>
    <w:rsid w:val="00332EB7"/>
    <w:rsid w:val="00333191"/>
    <w:rsid w:val="00333399"/>
    <w:rsid w:val="00333626"/>
    <w:rsid w:val="00333701"/>
    <w:rsid w:val="0033420F"/>
    <w:rsid w:val="003344E6"/>
    <w:rsid w:val="0033489C"/>
    <w:rsid w:val="003348A8"/>
    <w:rsid w:val="00334BC1"/>
    <w:rsid w:val="0033584A"/>
    <w:rsid w:val="00335A63"/>
    <w:rsid w:val="00335DAD"/>
    <w:rsid w:val="00336995"/>
    <w:rsid w:val="00337A1F"/>
    <w:rsid w:val="00341766"/>
    <w:rsid w:val="00342AED"/>
    <w:rsid w:val="00342B81"/>
    <w:rsid w:val="00342D0B"/>
    <w:rsid w:val="00342FA7"/>
    <w:rsid w:val="00343140"/>
    <w:rsid w:val="0034389F"/>
    <w:rsid w:val="00343C0F"/>
    <w:rsid w:val="00343D5C"/>
    <w:rsid w:val="003445E7"/>
    <w:rsid w:val="00344616"/>
    <w:rsid w:val="003446F2"/>
    <w:rsid w:val="00344F06"/>
    <w:rsid w:val="00345B56"/>
    <w:rsid w:val="00345D02"/>
    <w:rsid w:val="00346128"/>
    <w:rsid w:val="00346AED"/>
    <w:rsid w:val="00346E38"/>
    <w:rsid w:val="00346F46"/>
    <w:rsid w:val="00347E93"/>
    <w:rsid w:val="00347F61"/>
    <w:rsid w:val="0035017A"/>
    <w:rsid w:val="003501E2"/>
    <w:rsid w:val="003505BF"/>
    <w:rsid w:val="00350A2C"/>
    <w:rsid w:val="00351350"/>
    <w:rsid w:val="003516BB"/>
    <w:rsid w:val="00351CDA"/>
    <w:rsid w:val="00351D75"/>
    <w:rsid w:val="00352406"/>
    <w:rsid w:val="003525A0"/>
    <w:rsid w:val="00354011"/>
    <w:rsid w:val="003540E2"/>
    <w:rsid w:val="003543FA"/>
    <w:rsid w:val="00354ABB"/>
    <w:rsid w:val="00354D3F"/>
    <w:rsid w:val="003550E9"/>
    <w:rsid w:val="003559ED"/>
    <w:rsid w:val="00355FBD"/>
    <w:rsid w:val="003566AE"/>
    <w:rsid w:val="003566B4"/>
    <w:rsid w:val="0035733B"/>
    <w:rsid w:val="00357881"/>
    <w:rsid w:val="00357ADC"/>
    <w:rsid w:val="003600A0"/>
    <w:rsid w:val="003602DF"/>
    <w:rsid w:val="00360732"/>
    <w:rsid w:val="003608D2"/>
    <w:rsid w:val="00360971"/>
    <w:rsid w:val="00360C5F"/>
    <w:rsid w:val="0036195E"/>
    <w:rsid w:val="00362287"/>
    <w:rsid w:val="00362A80"/>
    <w:rsid w:val="00363453"/>
    <w:rsid w:val="00363E00"/>
    <w:rsid w:val="00363E89"/>
    <w:rsid w:val="00365067"/>
    <w:rsid w:val="00365115"/>
    <w:rsid w:val="00365387"/>
    <w:rsid w:val="003661D7"/>
    <w:rsid w:val="00366486"/>
    <w:rsid w:val="003665E7"/>
    <w:rsid w:val="00366CB6"/>
    <w:rsid w:val="003703FB"/>
    <w:rsid w:val="00370BDD"/>
    <w:rsid w:val="003722FC"/>
    <w:rsid w:val="003729AF"/>
    <w:rsid w:val="00372CA3"/>
    <w:rsid w:val="0037322A"/>
    <w:rsid w:val="0037398A"/>
    <w:rsid w:val="003740CA"/>
    <w:rsid w:val="003746E3"/>
    <w:rsid w:val="00374B62"/>
    <w:rsid w:val="00376112"/>
    <w:rsid w:val="0037665B"/>
    <w:rsid w:val="0037679E"/>
    <w:rsid w:val="00376B68"/>
    <w:rsid w:val="003770C6"/>
    <w:rsid w:val="003774EE"/>
    <w:rsid w:val="00377729"/>
    <w:rsid w:val="00380197"/>
    <w:rsid w:val="0038087A"/>
    <w:rsid w:val="00380F39"/>
    <w:rsid w:val="00381102"/>
    <w:rsid w:val="0038134B"/>
    <w:rsid w:val="00382FD0"/>
    <w:rsid w:val="00383776"/>
    <w:rsid w:val="003838DD"/>
    <w:rsid w:val="003841C7"/>
    <w:rsid w:val="00384DE8"/>
    <w:rsid w:val="00385BDD"/>
    <w:rsid w:val="00385D1A"/>
    <w:rsid w:val="00386C42"/>
    <w:rsid w:val="003872EB"/>
    <w:rsid w:val="003877CC"/>
    <w:rsid w:val="0039238C"/>
    <w:rsid w:val="00392936"/>
    <w:rsid w:val="00392ADB"/>
    <w:rsid w:val="00392EE0"/>
    <w:rsid w:val="003932C7"/>
    <w:rsid w:val="003936C5"/>
    <w:rsid w:val="00393987"/>
    <w:rsid w:val="003964E0"/>
    <w:rsid w:val="003965CE"/>
    <w:rsid w:val="00396C0F"/>
    <w:rsid w:val="003974C1"/>
    <w:rsid w:val="003978E3"/>
    <w:rsid w:val="00397EBD"/>
    <w:rsid w:val="003A0851"/>
    <w:rsid w:val="003A0D02"/>
    <w:rsid w:val="003A0F80"/>
    <w:rsid w:val="003A15A0"/>
    <w:rsid w:val="003A33D6"/>
    <w:rsid w:val="003A36FC"/>
    <w:rsid w:val="003A38E8"/>
    <w:rsid w:val="003A66EE"/>
    <w:rsid w:val="003A6D78"/>
    <w:rsid w:val="003A74D6"/>
    <w:rsid w:val="003A74F2"/>
    <w:rsid w:val="003B0222"/>
    <w:rsid w:val="003B069E"/>
    <w:rsid w:val="003B1193"/>
    <w:rsid w:val="003B1202"/>
    <w:rsid w:val="003B128A"/>
    <w:rsid w:val="003B1D5F"/>
    <w:rsid w:val="003B22D6"/>
    <w:rsid w:val="003B23CD"/>
    <w:rsid w:val="003B31DA"/>
    <w:rsid w:val="003B3C6E"/>
    <w:rsid w:val="003B4A81"/>
    <w:rsid w:val="003B53E2"/>
    <w:rsid w:val="003B5A70"/>
    <w:rsid w:val="003B5F12"/>
    <w:rsid w:val="003B72CC"/>
    <w:rsid w:val="003B7CF9"/>
    <w:rsid w:val="003C02FF"/>
    <w:rsid w:val="003C0446"/>
    <w:rsid w:val="003C0555"/>
    <w:rsid w:val="003C14B8"/>
    <w:rsid w:val="003C1765"/>
    <w:rsid w:val="003C1767"/>
    <w:rsid w:val="003C26EF"/>
    <w:rsid w:val="003C2BD0"/>
    <w:rsid w:val="003C3155"/>
    <w:rsid w:val="003C320C"/>
    <w:rsid w:val="003C3286"/>
    <w:rsid w:val="003C3AA7"/>
    <w:rsid w:val="003C4399"/>
    <w:rsid w:val="003C43D1"/>
    <w:rsid w:val="003C5F07"/>
    <w:rsid w:val="003C667D"/>
    <w:rsid w:val="003C6F98"/>
    <w:rsid w:val="003C766D"/>
    <w:rsid w:val="003D0292"/>
    <w:rsid w:val="003D052C"/>
    <w:rsid w:val="003D206C"/>
    <w:rsid w:val="003D2737"/>
    <w:rsid w:val="003D4158"/>
    <w:rsid w:val="003D541C"/>
    <w:rsid w:val="003D5758"/>
    <w:rsid w:val="003D6673"/>
    <w:rsid w:val="003D73A9"/>
    <w:rsid w:val="003E07E0"/>
    <w:rsid w:val="003E0B48"/>
    <w:rsid w:val="003E0CFD"/>
    <w:rsid w:val="003E1C8E"/>
    <w:rsid w:val="003E278E"/>
    <w:rsid w:val="003E30D7"/>
    <w:rsid w:val="003E3FB4"/>
    <w:rsid w:val="003E4DE3"/>
    <w:rsid w:val="003E5A7B"/>
    <w:rsid w:val="003E5E1C"/>
    <w:rsid w:val="003E6061"/>
    <w:rsid w:val="003E6B00"/>
    <w:rsid w:val="003F0BC3"/>
    <w:rsid w:val="003F14A2"/>
    <w:rsid w:val="003F1559"/>
    <w:rsid w:val="003F1D01"/>
    <w:rsid w:val="003F1F2B"/>
    <w:rsid w:val="003F2865"/>
    <w:rsid w:val="003F3BC2"/>
    <w:rsid w:val="003F4147"/>
    <w:rsid w:val="003F423A"/>
    <w:rsid w:val="003F4536"/>
    <w:rsid w:val="003F536B"/>
    <w:rsid w:val="003F66B6"/>
    <w:rsid w:val="003F6BC2"/>
    <w:rsid w:val="003F6ED5"/>
    <w:rsid w:val="003F7C50"/>
    <w:rsid w:val="00400A40"/>
    <w:rsid w:val="004010DC"/>
    <w:rsid w:val="00401654"/>
    <w:rsid w:val="00401655"/>
    <w:rsid w:val="00401693"/>
    <w:rsid w:val="004017C8"/>
    <w:rsid w:val="0040188F"/>
    <w:rsid w:val="004023E6"/>
    <w:rsid w:val="004024C3"/>
    <w:rsid w:val="00402DA4"/>
    <w:rsid w:val="0040304C"/>
    <w:rsid w:val="004042AD"/>
    <w:rsid w:val="00404775"/>
    <w:rsid w:val="0040518A"/>
    <w:rsid w:val="00405680"/>
    <w:rsid w:val="00406046"/>
    <w:rsid w:val="0040691F"/>
    <w:rsid w:val="00407251"/>
    <w:rsid w:val="0040787D"/>
    <w:rsid w:val="00407940"/>
    <w:rsid w:val="00407BED"/>
    <w:rsid w:val="00407F99"/>
    <w:rsid w:val="00410294"/>
    <w:rsid w:val="004103BA"/>
    <w:rsid w:val="004108BB"/>
    <w:rsid w:val="00410902"/>
    <w:rsid w:val="00410A88"/>
    <w:rsid w:val="0041115C"/>
    <w:rsid w:val="00411E21"/>
    <w:rsid w:val="004129EC"/>
    <w:rsid w:val="00413513"/>
    <w:rsid w:val="0041376B"/>
    <w:rsid w:val="004141E1"/>
    <w:rsid w:val="00415A61"/>
    <w:rsid w:val="00415FC2"/>
    <w:rsid w:val="004168B6"/>
    <w:rsid w:val="00417293"/>
    <w:rsid w:val="0041775F"/>
    <w:rsid w:val="00417C94"/>
    <w:rsid w:val="00417EBA"/>
    <w:rsid w:val="00420780"/>
    <w:rsid w:val="00421DB5"/>
    <w:rsid w:val="00423147"/>
    <w:rsid w:val="00423790"/>
    <w:rsid w:val="004238D6"/>
    <w:rsid w:val="00423F24"/>
    <w:rsid w:val="00424332"/>
    <w:rsid w:val="004243EA"/>
    <w:rsid w:val="004244AA"/>
    <w:rsid w:val="00424A4C"/>
    <w:rsid w:val="00424D26"/>
    <w:rsid w:val="00424F34"/>
    <w:rsid w:val="00426084"/>
    <w:rsid w:val="0042609B"/>
    <w:rsid w:val="00426660"/>
    <w:rsid w:val="00427655"/>
    <w:rsid w:val="00430B4A"/>
    <w:rsid w:val="00430EDC"/>
    <w:rsid w:val="00431231"/>
    <w:rsid w:val="00431517"/>
    <w:rsid w:val="00431D00"/>
    <w:rsid w:val="0043339B"/>
    <w:rsid w:val="00433E41"/>
    <w:rsid w:val="00434D00"/>
    <w:rsid w:val="00434E19"/>
    <w:rsid w:val="00436099"/>
    <w:rsid w:val="00436F24"/>
    <w:rsid w:val="00437076"/>
    <w:rsid w:val="00437093"/>
    <w:rsid w:val="00437A41"/>
    <w:rsid w:val="00437AF6"/>
    <w:rsid w:val="00440574"/>
    <w:rsid w:val="004405DA"/>
    <w:rsid w:val="00440922"/>
    <w:rsid w:val="004416BD"/>
    <w:rsid w:val="00441979"/>
    <w:rsid w:val="00441B42"/>
    <w:rsid w:val="00442A7A"/>
    <w:rsid w:val="00442BCE"/>
    <w:rsid w:val="00443205"/>
    <w:rsid w:val="0044370A"/>
    <w:rsid w:val="0044392B"/>
    <w:rsid w:val="00443E78"/>
    <w:rsid w:val="00444339"/>
    <w:rsid w:val="00444966"/>
    <w:rsid w:val="00444A50"/>
    <w:rsid w:val="00445096"/>
    <w:rsid w:val="00445116"/>
    <w:rsid w:val="004454E6"/>
    <w:rsid w:val="004458D8"/>
    <w:rsid w:val="00445DFC"/>
    <w:rsid w:val="004468DD"/>
    <w:rsid w:val="00446C88"/>
    <w:rsid w:val="004478E3"/>
    <w:rsid w:val="004505B9"/>
    <w:rsid w:val="00450B6F"/>
    <w:rsid w:val="00450CE1"/>
    <w:rsid w:val="00450EDB"/>
    <w:rsid w:val="00451FA0"/>
    <w:rsid w:val="00452791"/>
    <w:rsid w:val="00453156"/>
    <w:rsid w:val="00453706"/>
    <w:rsid w:val="00453EBE"/>
    <w:rsid w:val="00454694"/>
    <w:rsid w:val="004548CB"/>
    <w:rsid w:val="00454C37"/>
    <w:rsid w:val="00456543"/>
    <w:rsid w:val="00456DBD"/>
    <w:rsid w:val="00457021"/>
    <w:rsid w:val="00457319"/>
    <w:rsid w:val="00457373"/>
    <w:rsid w:val="004602F9"/>
    <w:rsid w:val="00460D69"/>
    <w:rsid w:val="00460FC9"/>
    <w:rsid w:val="00461E16"/>
    <w:rsid w:val="00462EC2"/>
    <w:rsid w:val="004638A5"/>
    <w:rsid w:val="00463DE0"/>
    <w:rsid w:val="004641C1"/>
    <w:rsid w:val="0046432E"/>
    <w:rsid w:val="00464880"/>
    <w:rsid w:val="00465369"/>
    <w:rsid w:val="00465829"/>
    <w:rsid w:val="00465AED"/>
    <w:rsid w:val="00465C5D"/>
    <w:rsid w:val="00465D98"/>
    <w:rsid w:val="00466C26"/>
    <w:rsid w:val="00466EE7"/>
    <w:rsid w:val="004670AE"/>
    <w:rsid w:val="00470BD8"/>
    <w:rsid w:val="004713F2"/>
    <w:rsid w:val="00471B7E"/>
    <w:rsid w:val="00471CC6"/>
    <w:rsid w:val="00472196"/>
    <w:rsid w:val="00472E76"/>
    <w:rsid w:val="0047429A"/>
    <w:rsid w:val="00474917"/>
    <w:rsid w:val="004753CE"/>
    <w:rsid w:val="0047557A"/>
    <w:rsid w:val="004756E5"/>
    <w:rsid w:val="00475991"/>
    <w:rsid w:val="00476685"/>
    <w:rsid w:val="0047752A"/>
    <w:rsid w:val="00480803"/>
    <w:rsid w:val="00480829"/>
    <w:rsid w:val="00480D3F"/>
    <w:rsid w:val="004810B3"/>
    <w:rsid w:val="0048112C"/>
    <w:rsid w:val="00481A91"/>
    <w:rsid w:val="00482055"/>
    <w:rsid w:val="00482A93"/>
    <w:rsid w:val="0048317C"/>
    <w:rsid w:val="00483659"/>
    <w:rsid w:val="004836F3"/>
    <w:rsid w:val="0048472B"/>
    <w:rsid w:val="00484918"/>
    <w:rsid w:val="004858BB"/>
    <w:rsid w:val="00486414"/>
    <w:rsid w:val="00487421"/>
    <w:rsid w:val="00487D40"/>
    <w:rsid w:val="00487EC0"/>
    <w:rsid w:val="00490976"/>
    <w:rsid w:val="00490A4D"/>
    <w:rsid w:val="00490F8C"/>
    <w:rsid w:val="0049110B"/>
    <w:rsid w:val="00492346"/>
    <w:rsid w:val="004927A1"/>
    <w:rsid w:val="00492B0A"/>
    <w:rsid w:val="00495B87"/>
    <w:rsid w:val="00495D3A"/>
    <w:rsid w:val="00496452"/>
    <w:rsid w:val="004966B9"/>
    <w:rsid w:val="00497A1B"/>
    <w:rsid w:val="004A01A4"/>
    <w:rsid w:val="004A101F"/>
    <w:rsid w:val="004A1641"/>
    <w:rsid w:val="004A182D"/>
    <w:rsid w:val="004A2E4B"/>
    <w:rsid w:val="004A333A"/>
    <w:rsid w:val="004A3B0D"/>
    <w:rsid w:val="004A4053"/>
    <w:rsid w:val="004A4579"/>
    <w:rsid w:val="004A46C5"/>
    <w:rsid w:val="004A490F"/>
    <w:rsid w:val="004A49E8"/>
    <w:rsid w:val="004A4AE6"/>
    <w:rsid w:val="004A5DF4"/>
    <w:rsid w:val="004A62A8"/>
    <w:rsid w:val="004A62BC"/>
    <w:rsid w:val="004A6AAD"/>
    <w:rsid w:val="004A76BE"/>
    <w:rsid w:val="004A7ACE"/>
    <w:rsid w:val="004A7B30"/>
    <w:rsid w:val="004A7E49"/>
    <w:rsid w:val="004B0F5F"/>
    <w:rsid w:val="004B1CB8"/>
    <w:rsid w:val="004B1E21"/>
    <w:rsid w:val="004B4132"/>
    <w:rsid w:val="004B4F22"/>
    <w:rsid w:val="004B5220"/>
    <w:rsid w:val="004B540C"/>
    <w:rsid w:val="004B5456"/>
    <w:rsid w:val="004B5D27"/>
    <w:rsid w:val="004B6C84"/>
    <w:rsid w:val="004B6CD3"/>
    <w:rsid w:val="004C034D"/>
    <w:rsid w:val="004C0C3F"/>
    <w:rsid w:val="004C0E51"/>
    <w:rsid w:val="004C168B"/>
    <w:rsid w:val="004C22B9"/>
    <w:rsid w:val="004C253C"/>
    <w:rsid w:val="004C27C4"/>
    <w:rsid w:val="004C33CD"/>
    <w:rsid w:val="004C3DDF"/>
    <w:rsid w:val="004C44EC"/>
    <w:rsid w:val="004C5A9C"/>
    <w:rsid w:val="004C6607"/>
    <w:rsid w:val="004C6672"/>
    <w:rsid w:val="004C691A"/>
    <w:rsid w:val="004C6C13"/>
    <w:rsid w:val="004C7033"/>
    <w:rsid w:val="004D0B3B"/>
    <w:rsid w:val="004D12F2"/>
    <w:rsid w:val="004D1868"/>
    <w:rsid w:val="004D1C6F"/>
    <w:rsid w:val="004D22DA"/>
    <w:rsid w:val="004D267D"/>
    <w:rsid w:val="004D27F9"/>
    <w:rsid w:val="004D2D80"/>
    <w:rsid w:val="004D3D17"/>
    <w:rsid w:val="004D461A"/>
    <w:rsid w:val="004D47D5"/>
    <w:rsid w:val="004D5485"/>
    <w:rsid w:val="004D56C8"/>
    <w:rsid w:val="004D5996"/>
    <w:rsid w:val="004D5B53"/>
    <w:rsid w:val="004D665E"/>
    <w:rsid w:val="004D7493"/>
    <w:rsid w:val="004D7566"/>
    <w:rsid w:val="004D7606"/>
    <w:rsid w:val="004E03A4"/>
    <w:rsid w:val="004E084D"/>
    <w:rsid w:val="004E19A2"/>
    <w:rsid w:val="004E1E33"/>
    <w:rsid w:val="004E21DF"/>
    <w:rsid w:val="004E380C"/>
    <w:rsid w:val="004E39CA"/>
    <w:rsid w:val="004E3EA8"/>
    <w:rsid w:val="004E4BE9"/>
    <w:rsid w:val="004E5108"/>
    <w:rsid w:val="004E51F9"/>
    <w:rsid w:val="004E5DBD"/>
    <w:rsid w:val="004E60DB"/>
    <w:rsid w:val="004F0700"/>
    <w:rsid w:val="004F0BEB"/>
    <w:rsid w:val="004F0D35"/>
    <w:rsid w:val="004F0D7A"/>
    <w:rsid w:val="004F1549"/>
    <w:rsid w:val="004F16D5"/>
    <w:rsid w:val="004F1940"/>
    <w:rsid w:val="004F211D"/>
    <w:rsid w:val="004F2220"/>
    <w:rsid w:val="004F2304"/>
    <w:rsid w:val="004F2B75"/>
    <w:rsid w:val="004F4BB6"/>
    <w:rsid w:val="004F4E81"/>
    <w:rsid w:val="004F5AEE"/>
    <w:rsid w:val="004F68FE"/>
    <w:rsid w:val="004F7864"/>
    <w:rsid w:val="004F7F54"/>
    <w:rsid w:val="00501EC5"/>
    <w:rsid w:val="0050254E"/>
    <w:rsid w:val="00502937"/>
    <w:rsid w:val="00502A4C"/>
    <w:rsid w:val="00502CE3"/>
    <w:rsid w:val="00502E65"/>
    <w:rsid w:val="00503D88"/>
    <w:rsid w:val="0050427C"/>
    <w:rsid w:val="00504ECE"/>
    <w:rsid w:val="005055D5"/>
    <w:rsid w:val="00505764"/>
    <w:rsid w:val="00505F5C"/>
    <w:rsid w:val="005066A3"/>
    <w:rsid w:val="00506E74"/>
    <w:rsid w:val="00510AF6"/>
    <w:rsid w:val="00510F1F"/>
    <w:rsid w:val="005110D6"/>
    <w:rsid w:val="00511946"/>
    <w:rsid w:val="00511E67"/>
    <w:rsid w:val="00512BD2"/>
    <w:rsid w:val="00513452"/>
    <w:rsid w:val="0051385B"/>
    <w:rsid w:val="005138C8"/>
    <w:rsid w:val="00513D9A"/>
    <w:rsid w:val="00514495"/>
    <w:rsid w:val="00514FE2"/>
    <w:rsid w:val="005151C0"/>
    <w:rsid w:val="00515D24"/>
    <w:rsid w:val="00516017"/>
    <w:rsid w:val="005163CB"/>
    <w:rsid w:val="00520AC5"/>
    <w:rsid w:val="00520FE3"/>
    <w:rsid w:val="00521887"/>
    <w:rsid w:val="00521C3E"/>
    <w:rsid w:val="005220D6"/>
    <w:rsid w:val="0052249E"/>
    <w:rsid w:val="005226D8"/>
    <w:rsid w:val="0052288F"/>
    <w:rsid w:val="005233D4"/>
    <w:rsid w:val="00523542"/>
    <w:rsid w:val="005237A5"/>
    <w:rsid w:val="005237B1"/>
    <w:rsid w:val="005242AE"/>
    <w:rsid w:val="005243D4"/>
    <w:rsid w:val="00524919"/>
    <w:rsid w:val="00524A54"/>
    <w:rsid w:val="00524E5C"/>
    <w:rsid w:val="005269CE"/>
    <w:rsid w:val="00527B20"/>
    <w:rsid w:val="00530803"/>
    <w:rsid w:val="00530DD8"/>
    <w:rsid w:val="005313E0"/>
    <w:rsid w:val="0053239C"/>
    <w:rsid w:val="005324C7"/>
    <w:rsid w:val="0053344C"/>
    <w:rsid w:val="00533E32"/>
    <w:rsid w:val="005343E9"/>
    <w:rsid w:val="00534990"/>
    <w:rsid w:val="00534CA8"/>
    <w:rsid w:val="00535079"/>
    <w:rsid w:val="00535196"/>
    <w:rsid w:val="00535B8B"/>
    <w:rsid w:val="00535D49"/>
    <w:rsid w:val="00535EEC"/>
    <w:rsid w:val="005362A6"/>
    <w:rsid w:val="00537385"/>
    <w:rsid w:val="0053741D"/>
    <w:rsid w:val="00537F40"/>
    <w:rsid w:val="0054005D"/>
    <w:rsid w:val="00540A36"/>
    <w:rsid w:val="0054231E"/>
    <w:rsid w:val="00542429"/>
    <w:rsid w:val="00542847"/>
    <w:rsid w:val="00542B86"/>
    <w:rsid w:val="00543EE7"/>
    <w:rsid w:val="00544128"/>
    <w:rsid w:val="00544278"/>
    <w:rsid w:val="00544A35"/>
    <w:rsid w:val="00544F24"/>
    <w:rsid w:val="00545FFC"/>
    <w:rsid w:val="00546957"/>
    <w:rsid w:val="00546FC9"/>
    <w:rsid w:val="00550BB0"/>
    <w:rsid w:val="00550BC8"/>
    <w:rsid w:val="00551056"/>
    <w:rsid w:val="005517BB"/>
    <w:rsid w:val="0055191F"/>
    <w:rsid w:val="00551B60"/>
    <w:rsid w:val="0055288B"/>
    <w:rsid w:val="00552B1E"/>
    <w:rsid w:val="005531F9"/>
    <w:rsid w:val="005531FC"/>
    <w:rsid w:val="005537D3"/>
    <w:rsid w:val="005539B3"/>
    <w:rsid w:val="00555217"/>
    <w:rsid w:val="00555A06"/>
    <w:rsid w:val="00556278"/>
    <w:rsid w:val="00557154"/>
    <w:rsid w:val="00557EB5"/>
    <w:rsid w:val="005600D2"/>
    <w:rsid w:val="005613CC"/>
    <w:rsid w:val="00562F80"/>
    <w:rsid w:val="0056375A"/>
    <w:rsid w:val="00563B83"/>
    <w:rsid w:val="00564C86"/>
    <w:rsid w:val="00565AE4"/>
    <w:rsid w:val="00566350"/>
    <w:rsid w:val="005671EA"/>
    <w:rsid w:val="005678F0"/>
    <w:rsid w:val="00567E0E"/>
    <w:rsid w:val="0057078A"/>
    <w:rsid w:val="00570F6B"/>
    <w:rsid w:val="0057115D"/>
    <w:rsid w:val="0057204F"/>
    <w:rsid w:val="005722EE"/>
    <w:rsid w:val="005724DA"/>
    <w:rsid w:val="00572610"/>
    <w:rsid w:val="00572903"/>
    <w:rsid w:val="00572AE6"/>
    <w:rsid w:val="00572E9C"/>
    <w:rsid w:val="00573F70"/>
    <w:rsid w:val="0057453B"/>
    <w:rsid w:val="00574D54"/>
    <w:rsid w:val="00575D5E"/>
    <w:rsid w:val="00576EDF"/>
    <w:rsid w:val="00577CE6"/>
    <w:rsid w:val="00580A34"/>
    <w:rsid w:val="00581DE9"/>
    <w:rsid w:val="0058240C"/>
    <w:rsid w:val="00582422"/>
    <w:rsid w:val="00582C93"/>
    <w:rsid w:val="00583E21"/>
    <w:rsid w:val="0058480D"/>
    <w:rsid w:val="00584E5B"/>
    <w:rsid w:val="005851A9"/>
    <w:rsid w:val="00585658"/>
    <w:rsid w:val="00585B91"/>
    <w:rsid w:val="00585B99"/>
    <w:rsid w:val="005860EB"/>
    <w:rsid w:val="005878AF"/>
    <w:rsid w:val="00587CAB"/>
    <w:rsid w:val="005917EA"/>
    <w:rsid w:val="00592758"/>
    <w:rsid w:val="005927A5"/>
    <w:rsid w:val="005936BA"/>
    <w:rsid w:val="00593764"/>
    <w:rsid w:val="00593960"/>
    <w:rsid w:val="005949E4"/>
    <w:rsid w:val="00596AA9"/>
    <w:rsid w:val="00596D93"/>
    <w:rsid w:val="005977A7"/>
    <w:rsid w:val="005979DB"/>
    <w:rsid w:val="005A0195"/>
    <w:rsid w:val="005A03FD"/>
    <w:rsid w:val="005A0447"/>
    <w:rsid w:val="005A09DE"/>
    <w:rsid w:val="005A2E74"/>
    <w:rsid w:val="005A34AC"/>
    <w:rsid w:val="005A4303"/>
    <w:rsid w:val="005A46BF"/>
    <w:rsid w:val="005A489D"/>
    <w:rsid w:val="005A6CB9"/>
    <w:rsid w:val="005A723D"/>
    <w:rsid w:val="005A7AFB"/>
    <w:rsid w:val="005B0587"/>
    <w:rsid w:val="005B094E"/>
    <w:rsid w:val="005B0F21"/>
    <w:rsid w:val="005B19F7"/>
    <w:rsid w:val="005B1DCD"/>
    <w:rsid w:val="005B2E1C"/>
    <w:rsid w:val="005B382B"/>
    <w:rsid w:val="005B436C"/>
    <w:rsid w:val="005B45E4"/>
    <w:rsid w:val="005B4808"/>
    <w:rsid w:val="005B4840"/>
    <w:rsid w:val="005B4E77"/>
    <w:rsid w:val="005B4FBE"/>
    <w:rsid w:val="005B5433"/>
    <w:rsid w:val="005B55FB"/>
    <w:rsid w:val="005B5BBC"/>
    <w:rsid w:val="005B5DBE"/>
    <w:rsid w:val="005B65E0"/>
    <w:rsid w:val="005B68A3"/>
    <w:rsid w:val="005B7D70"/>
    <w:rsid w:val="005C0A89"/>
    <w:rsid w:val="005C0C0A"/>
    <w:rsid w:val="005C136C"/>
    <w:rsid w:val="005C1696"/>
    <w:rsid w:val="005C3522"/>
    <w:rsid w:val="005C39FE"/>
    <w:rsid w:val="005C44E2"/>
    <w:rsid w:val="005C453E"/>
    <w:rsid w:val="005C5180"/>
    <w:rsid w:val="005C53C1"/>
    <w:rsid w:val="005C6A04"/>
    <w:rsid w:val="005D03C2"/>
    <w:rsid w:val="005D0B34"/>
    <w:rsid w:val="005D12DD"/>
    <w:rsid w:val="005D25D5"/>
    <w:rsid w:val="005D3038"/>
    <w:rsid w:val="005D321F"/>
    <w:rsid w:val="005D40C7"/>
    <w:rsid w:val="005D4BE3"/>
    <w:rsid w:val="005D4E25"/>
    <w:rsid w:val="005D50B8"/>
    <w:rsid w:val="005D54EF"/>
    <w:rsid w:val="005D62F1"/>
    <w:rsid w:val="005D6303"/>
    <w:rsid w:val="005D74A8"/>
    <w:rsid w:val="005D74AA"/>
    <w:rsid w:val="005E0C2E"/>
    <w:rsid w:val="005E2C8F"/>
    <w:rsid w:val="005E2D5C"/>
    <w:rsid w:val="005E2DC5"/>
    <w:rsid w:val="005E3084"/>
    <w:rsid w:val="005E3868"/>
    <w:rsid w:val="005E390C"/>
    <w:rsid w:val="005E3C7F"/>
    <w:rsid w:val="005E3FCB"/>
    <w:rsid w:val="005E43D8"/>
    <w:rsid w:val="005E4448"/>
    <w:rsid w:val="005E4822"/>
    <w:rsid w:val="005E4E54"/>
    <w:rsid w:val="005E5053"/>
    <w:rsid w:val="005E5551"/>
    <w:rsid w:val="005E5689"/>
    <w:rsid w:val="005E6371"/>
    <w:rsid w:val="005E63D0"/>
    <w:rsid w:val="005E66C7"/>
    <w:rsid w:val="005E6E82"/>
    <w:rsid w:val="005E7222"/>
    <w:rsid w:val="005E799F"/>
    <w:rsid w:val="005E7AFC"/>
    <w:rsid w:val="005F0744"/>
    <w:rsid w:val="005F07D2"/>
    <w:rsid w:val="005F16D6"/>
    <w:rsid w:val="005F17C6"/>
    <w:rsid w:val="005F1E68"/>
    <w:rsid w:val="005F2737"/>
    <w:rsid w:val="005F2820"/>
    <w:rsid w:val="005F2DB2"/>
    <w:rsid w:val="005F2E93"/>
    <w:rsid w:val="005F2EA0"/>
    <w:rsid w:val="005F3C81"/>
    <w:rsid w:val="005F3C82"/>
    <w:rsid w:val="005F470D"/>
    <w:rsid w:val="005F5D06"/>
    <w:rsid w:val="005F5E03"/>
    <w:rsid w:val="005F606B"/>
    <w:rsid w:val="005F672C"/>
    <w:rsid w:val="005F7206"/>
    <w:rsid w:val="005F736A"/>
    <w:rsid w:val="005F76A4"/>
    <w:rsid w:val="006002D9"/>
    <w:rsid w:val="0060080C"/>
    <w:rsid w:val="00600D86"/>
    <w:rsid w:val="006014E1"/>
    <w:rsid w:val="006026DE"/>
    <w:rsid w:val="0060275A"/>
    <w:rsid w:val="0060287E"/>
    <w:rsid w:val="00604870"/>
    <w:rsid w:val="00604B45"/>
    <w:rsid w:val="00604C63"/>
    <w:rsid w:val="00604E6D"/>
    <w:rsid w:val="00606820"/>
    <w:rsid w:val="00606C86"/>
    <w:rsid w:val="00606CC3"/>
    <w:rsid w:val="00606F68"/>
    <w:rsid w:val="00607147"/>
    <w:rsid w:val="006076B2"/>
    <w:rsid w:val="006107E8"/>
    <w:rsid w:val="0061088F"/>
    <w:rsid w:val="00610F32"/>
    <w:rsid w:val="006121CA"/>
    <w:rsid w:val="006123C6"/>
    <w:rsid w:val="0061246C"/>
    <w:rsid w:val="006137A8"/>
    <w:rsid w:val="00614F85"/>
    <w:rsid w:val="006154BA"/>
    <w:rsid w:val="0061689B"/>
    <w:rsid w:val="0061697D"/>
    <w:rsid w:val="006171B8"/>
    <w:rsid w:val="006177B3"/>
    <w:rsid w:val="0062022F"/>
    <w:rsid w:val="00621285"/>
    <w:rsid w:val="006213E6"/>
    <w:rsid w:val="00621E69"/>
    <w:rsid w:val="006222BA"/>
    <w:rsid w:val="00623624"/>
    <w:rsid w:val="00623996"/>
    <w:rsid w:val="00624058"/>
    <w:rsid w:val="00624657"/>
    <w:rsid w:val="006259FC"/>
    <w:rsid w:val="00625F6B"/>
    <w:rsid w:val="0062612E"/>
    <w:rsid w:val="006263BB"/>
    <w:rsid w:val="0062644B"/>
    <w:rsid w:val="00626FE7"/>
    <w:rsid w:val="00630164"/>
    <w:rsid w:val="0063109A"/>
    <w:rsid w:val="006312D5"/>
    <w:rsid w:val="006317A4"/>
    <w:rsid w:val="00631BF9"/>
    <w:rsid w:val="00631FB6"/>
    <w:rsid w:val="0063257E"/>
    <w:rsid w:val="0063291E"/>
    <w:rsid w:val="00632928"/>
    <w:rsid w:val="00632CA3"/>
    <w:rsid w:val="00632E88"/>
    <w:rsid w:val="00632FBF"/>
    <w:rsid w:val="006332F7"/>
    <w:rsid w:val="00635160"/>
    <w:rsid w:val="00635B1A"/>
    <w:rsid w:val="00635EA0"/>
    <w:rsid w:val="006367F1"/>
    <w:rsid w:val="00636A95"/>
    <w:rsid w:val="00637B41"/>
    <w:rsid w:val="0064006F"/>
    <w:rsid w:val="006405AC"/>
    <w:rsid w:val="00640915"/>
    <w:rsid w:val="00641173"/>
    <w:rsid w:val="00641209"/>
    <w:rsid w:val="0064189D"/>
    <w:rsid w:val="006423BA"/>
    <w:rsid w:val="006429D9"/>
    <w:rsid w:val="00644265"/>
    <w:rsid w:val="006449EB"/>
    <w:rsid w:val="006462D5"/>
    <w:rsid w:val="00646542"/>
    <w:rsid w:val="006474C6"/>
    <w:rsid w:val="006507F3"/>
    <w:rsid w:val="00650CFE"/>
    <w:rsid w:val="006510EE"/>
    <w:rsid w:val="00651E56"/>
    <w:rsid w:val="0065217E"/>
    <w:rsid w:val="00652375"/>
    <w:rsid w:val="006528BD"/>
    <w:rsid w:val="00653315"/>
    <w:rsid w:val="00653355"/>
    <w:rsid w:val="006547BA"/>
    <w:rsid w:val="006547CE"/>
    <w:rsid w:val="00655499"/>
    <w:rsid w:val="00655A10"/>
    <w:rsid w:val="00657E4C"/>
    <w:rsid w:val="006603A1"/>
    <w:rsid w:val="00660FB8"/>
    <w:rsid w:val="00663100"/>
    <w:rsid w:val="00663642"/>
    <w:rsid w:val="00663ADE"/>
    <w:rsid w:val="00664B16"/>
    <w:rsid w:val="0066575C"/>
    <w:rsid w:val="006657F0"/>
    <w:rsid w:val="00666478"/>
    <w:rsid w:val="00667433"/>
    <w:rsid w:val="006706CC"/>
    <w:rsid w:val="00670AF8"/>
    <w:rsid w:val="006717DF"/>
    <w:rsid w:val="00672697"/>
    <w:rsid w:val="006728D5"/>
    <w:rsid w:val="00673085"/>
    <w:rsid w:val="0067324A"/>
    <w:rsid w:val="00673925"/>
    <w:rsid w:val="00673B31"/>
    <w:rsid w:val="00674876"/>
    <w:rsid w:val="00674C82"/>
    <w:rsid w:val="00674D16"/>
    <w:rsid w:val="00674D83"/>
    <w:rsid w:val="00675658"/>
    <w:rsid w:val="00675A84"/>
    <w:rsid w:val="00675F1D"/>
    <w:rsid w:val="0067653D"/>
    <w:rsid w:val="006776F4"/>
    <w:rsid w:val="00680855"/>
    <w:rsid w:val="006814FD"/>
    <w:rsid w:val="006817A5"/>
    <w:rsid w:val="00681A1E"/>
    <w:rsid w:val="00681BC3"/>
    <w:rsid w:val="00681EBF"/>
    <w:rsid w:val="0068203C"/>
    <w:rsid w:val="006820D3"/>
    <w:rsid w:val="00682170"/>
    <w:rsid w:val="00682B17"/>
    <w:rsid w:val="00682BCF"/>
    <w:rsid w:val="006833F6"/>
    <w:rsid w:val="006836B0"/>
    <w:rsid w:val="006836BF"/>
    <w:rsid w:val="00684E6F"/>
    <w:rsid w:val="006851A6"/>
    <w:rsid w:val="00685D0F"/>
    <w:rsid w:val="0068604A"/>
    <w:rsid w:val="00686130"/>
    <w:rsid w:val="00686988"/>
    <w:rsid w:val="00686E2D"/>
    <w:rsid w:val="00687045"/>
    <w:rsid w:val="00687399"/>
    <w:rsid w:val="006908E8"/>
    <w:rsid w:val="006909EA"/>
    <w:rsid w:val="00691428"/>
    <w:rsid w:val="00691476"/>
    <w:rsid w:val="00691C98"/>
    <w:rsid w:val="0069238E"/>
    <w:rsid w:val="006925E2"/>
    <w:rsid w:val="00693361"/>
    <w:rsid w:val="00693BDA"/>
    <w:rsid w:val="00693DD0"/>
    <w:rsid w:val="00694196"/>
    <w:rsid w:val="00694BF7"/>
    <w:rsid w:val="00694E74"/>
    <w:rsid w:val="0069519E"/>
    <w:rsid w:val="00695218"/>
    <w:rsid w:val="0069556C"/>
    <w:rsid w:val="006963A0"/>
    <w:rsid w:val="0069750D"/>
    <w:rsid w:val="0069755A"/>
    <w:rsid w:val="0069780C"/>
    <w:rsid w:val="006978D5"/>
    <w:rsid w:val="006A1577"/>
    <w:rsid w:val="006A20B6"/>
    <w:rsid w:val="006A3508"/>
    <w:rsid w:val="006A3AE7"/>
    <w:rsid w:val="006A452A"/>
    <w:rsid w:val="006A45D0"/>
    <w:rsid w:val="006A47B0"/>
    <w:rsid w:val="006A5175"/>
    <w:rsid w:val="006A5E70"/>
    <w:rsid w:val="006A763B"/>
    <w:rsid w:val="006A7DF6"/>
    <w:rsid w:val="006B0234"/>
    <w:rsid w:val="006B02DA"/>
    <w:rsid w:val="006B03A1"/>
    <w:rsid w:val="006B1AAE"/>
    <w:rsid w:val="006B2181"/>
    <w:rsid w:val="006B2519"/>
    <w:rsid w:val="006B3661"/>
    <w:rsid w:val="006B3B44"/>
    <w:rsid w:val="006B416B"/>
    <w:rsid w:val="006B4189"/>
    <w:rsid w:val="006B532F"/>
    <w:rsid w:val="006B5F97"/>
    <w:rsid w:val="006B6434"/>
    <w:rsid w:val="006B6646"/>
    <w:rsid w:val="006B6914"/>
    <w:rsid w:val="006B6945"/>
    <w:rsid w:val="006B7462"/>
    <w:rsid w:val="006B7E68"/>
    <w:rsid w:val="006C051D"/>
    <w:rsid w:val="006C06E7"/>
    <w:rsid w:val="006C16BE"/>
    <w:rsid w:val="006C1824"/>
    <w:rsid w:val="006C1FB8"/>
    <w:rsid w:val="006C2172"/>
    <w:rsid w:val="006C225B"/>
    <w:rsid w:val="006C27C5"/>
    <w:rsid w:val="006C44F9"/>
    <w:rsid w:val="006C4A59"/>
    <w:rsid w:val="006C501F"/>
    <w:rsid w:val="006C54B2"/>
    <w:rsid w:val="006C5BFC"/>
    <w:rsid w:val="006C61D6"/>
    <w:rsid w:val="006C61EA"/>
    <w:rsid w:val="006C72E9"/>
    <w:rsid w:val="006C73B1"/>
    <w:rsid w:val="006C7662"/>
    <w:rsid w:val="006D07D4"/>
    <w:rsid w:val="006D0E15"/>
    <w:rsid w:val="006D0EAE"/>
    <w:rsid w:val="006D10F3"/>
    <w:rsid w:val="006D14B6"/>
    <w:rsid w:val="006D1AB7"/>
    <w:rsid w:val="006D2879"/>
    <w:rsid w:val="006D2B72"/>
    <w:rsid w:val="006D45D9"/>
    <w:rsid w:val="006D4DD6"/>
    <w:rsid w:val="006D5632"/>
    <w:rsid w:val="006D6CB3"/>
    <w:rsid w:val="006D6FD7"/>
    <w:rsid w:val="006D711E"/>
    <w:rsid w:val="006E097C"/>
    <w:rsid w:val="006E1196"/>
    <w:rsid w:val="006E141E"/>
    <w:rsid w:val="006E1511"/>
    <w:rsid w:val="006E1683"/>
    <w:rsid w:val="006E1D60"/>
    <w:rsid w:val="006E4106"/>
    <w:rsid w:val="006E5ABF"/>
    <w:rsid w:val="006E5CCD"/>
    <w:rsid w:val="006E64AD"/>
    <w:rsid w:val="006E65AF"/>
    <w:rsid w:val="006E6D11"/>
    <w:rsid w:val="006E7D27"/>
    <w:rsid w:val="006F0986"/>
    <w:rsid w:val="006F0C55"/>
    <w:rsid w:val="006F0C90"/>
    <w:rsid w:val="006F1ED2"/>
    <w:rsid w:val="006F2254"/>
    <w:rsid w:val="006F27F3"/>
    <w:rsid w:val="006F2BF6"/>
    <w:rsid w:val="006F2C0A"/>
    <w:rsid w:val="006F4280"/>
    <w:rsid w:val="006F5DBA"/>
    <w:rsid w:val="006F71DE"/>
    <w:rsid w:val="006F75D9"/>
    <w:rsid w:val="007003DF"/>
    <w:rsid w:val="0070056E"/>
    <w:rsid w:val="00700593"/>
    <w:rsid w:val="00700790"/>
    <w:rsid w:val="00700C16"/>
    <w:rsid w:val="00700F92"/>
    <w:rsid w:val="0070228F"/>
    <w:rsid w:val="00703163"/>
    <w:rsid w:val="007039A1"/>
    <w:rsid w:val="007041DE"/>
    <w:rsid w:val="007042ED"/>
    <w:rsid w:val="007044DA"/>
    <w:rsid w:val="00704AD9"/>
    <w:rsid w:val="007058C2"/>
    <w:rsid w:val="00705D8C"/>
    <w:rsid w:val="0070617E"/>
    <w:rsid w:val="00707163"/>
    <w:rsid w:val="00707316"/>
    <w:rsid w:val="00710387"/>
    <w:rsid w:val="00710686"/>
    <w:rsid w:val="0071200D"/>
    <w:rsid w:val="00712089"/>
    <w:rsid w:val="007127D2"/>
    <w:rsid w:val="00713673"/>
    <w:rsid w:val="00714131"/>
    <w:rsid w:val="0071472B"/>
    <w:rsid w:val="0071479F"/>
    <w:rsid w:val="00715964"/>
    <w:rsid w:val="00715D65"/>
    <w:rsid w:val="00716165"/>
    <w:rsid w:val="00716750"/>
    <w:rsid w:val="007206EC"/>
    <w:rsid w:val="00720908"/>
    <w:rsid w:val="00720AFC"/>
    <w:rsid w:val="00721032"/>
    <w:rsid w:val="00721CBC"/>
    <w:rsid w:val="0072214F"/>
    <w:rsid w:val="00722BC7"/>
    <w:rsid w:val="00723CCA"/>
    <w:rsid w:val="007244EC"/>
    <w:rsid w:val="00724CDC"/>
    <w:rsid w:val="007252F3"/>
    <w:rsid w:val="00725673"/>
    <w:rsid w:val="0072585C"/>
    <w:rsid w:val="00725A42"/>
    <w:rsid w:val="00725D5B"/>
    <w:rsid w:val="00726F65"/>
    <w:rsid w:val="0072703A"/>
    <w:rsid w:val="007277E7"/>
    <w:rsid w:val="007300EE"/>
    <w:rsid w:val="00730264"/>
    <w:rsid w:val="00730D0C"/>
    <w:rsid w:val="00731455"/>
    <w:rsid w:val="007316C2"/>
    <w:rsid w:val="007317CD"/>
    <w:rsid w:val="00731ACE"/>
    <w:rsid w:val="00732624"/>
    <w:rsid w:val="007327F6"/>
    <w:rsid w:val="00733860"/>
    <w:rsid w:val="00733C6A"/>
    <w:rsid w:val="0073422C"/>
    <w:rsid w:val="00734810"/>
    <w:rsid w:val="00735770"/>
    <w:rsid w:val="00735CFA"/>
    <w:rsid w:val="00736551"/>
    <w:rsid w:val="00736962"/>
    <w:rsid w:val="007369A1"/>
    <w:rsid w:val="00737363"/>
    <w:rsid w:val="0073799D"/>
    <w:rsid w:val="00740262"/>
    <w:rsid w:val="00740341"/>
    <w:rsid w:val="00741DC7"/>
    <w:rsid w:val="007421C6"/>
    <w:rsid w:val="007422ED"/>
    <w:rsid w:val="00742831"/>
    <w:rsid w:val="00742FE7"/>
    <w:rsid w:val="0074355B"/>
    <w:rsid w:val="0074403A"/>
    <w:rsid w:val="0074487A"/>
    <w:rsid w:val="00744EAD"/>
    <w:rsid w:val="007450D9"/>
    <w:rsid w:val="007458D8"/>
    <w:rsid w:val="007465FE"/>
    <w:rsid w:val="00746CF7"/>
    <w:rsid w:val="007475D4"/>
    <w:rsid w:val="0075059A"/>
    <w:rsid w:val="00750D78"/>
    <w:rsid w:val="00750FBB"/>
    <w:rsid w:val="0075177B"/>
    <w:rsid w:val="00752741"/>
    <w:rsid w:val="00753120"/>
    <w:rsid w:val="00753C0A"/>
    <w:rsid w:val="0075409B"/>
    <w:rsid w:val="007547D2"/>
    <w:rsid w:val="00754CC0"/>
    <w:rsid w:val="00754DFA"/>
    <w:rsid w:val="00755CFF"/>
    <w:rsid w:val="00756735"/>
    <w:rsid w:val="007606CC"/>
    <w:rsid w:val="00760D43"/>
    <w:rsid w:val="007615BE"/>
    <w:rsid w:val="007631AD"/>
    <w:rsid w:val="007638A9"/>
    <w:rsid w:val="00763FE4"/>
    <w:rsid w:val="007642BA"/>
    <w:rsid w:val="0076567D"/>
    <w:rsid w:val="00765743"/>
    <w:rsid w:val="00765A01"/>
    <w:rsid w:val="00765A47"/>
    <w:rsid w:val="0076658D"/>
    <w:rsid w:val="007666C2"/>
    <w:rsid w:val="007668CC"/>
    <w:rsid w:val="007669DE"/>
    <w:rsid w:val="00770695"/>
    <w:rsid w:val="00770A9A"/>
    <w:rsid w:val="0077118C"/>
    <w:rsid w:val="00771225"/>
    <w:rsid w:val="007718AD"/>
    <w:rsid w:val="00771AE3"/>
    <w:rsid w:val="007726C5"/>
    <w:rsid w:val="007726D1"/>
    <w:rsid w:val="00773098"/>
    <w:rsid w:val="00773380"/>
    <w:rsid w:val="00774E07"/>
    <w:rsid w:val="007750DE"/>
    <w:rsid w:val="007751C4"/>
    <w:rsid w:val="00776915"/>
    <w:rsid w:val="00777D26"/>
    <w:rsid w:val="00777E14"/>
    <w:rsid w:val="007802BA"/>
    <w:rsid w:val="007805C8"/>
    <w:rsid w:val="00781C1C"/>
    <w:rsid w:val="00781FD4"/>
    <w:rsid w:val="007827C7"/>
    <w:rsid w:val="007832A8"/>
    <w:rsid w:val="00783CC8"/>
    <w:rsid w:val="007847F9"/>
    <w:rsid w:val="00784F3A"/>
    <w:rsid w:val="00784F4D"/>
    <w:rsid w:val="007862FE"/>
    <w:rsid w:val="00786691"/>
    <w:rsid w:val="00786E58"/>
    <w:rsid w:val="00787854"/>
    <w:rsid w:val="00787C90"/>
    <w:rsid w:val="00787CB7"/>
    <w:rsid w:val="00790500"/>
    <w:rsid w:val="0079182B"/>
    <w:rsid w:val="00791867"/>
    <w:rsid w:val="007923EF"/>
    <w:rsid w:val="00792865"/>
    <w:rsid w:val="007929AA"/>
    <w:rsid w:val="00793BE7"/>
    <w:rsid w:val="0079445A"/>
    <w:rsid w:val="00794541"/>
    <w:rsid w:val="00794F58"/>
    <w:rsid w:val="00796210"/>
    <w:rsid w:val="00796568"/>
    <w:rsid w:val="00796BD2"/>
    <w:rsid w:val="00797975"/>
    <w:rsid w:val="007A0C40"/>
    <w:rsid w:val="007A1160"/>
    <w:rsid w:val="007A1705"/>
    <w:rsid w:val="007A1732"/>
    <w:rsid w:val="007A2983"/>
    <w:rsid w:val="007A3838"/>
    <w:rsid w:val="007A4188"/>
    <w:rsid w:val="007A4A16"/>
    <w:rsid w:val="007A5FAB"/>
    <w:rsid w:val="007A6785"/>
    <w:rsid w:val="007A6787"/>
    <w:rsid w:val="007A72AF"/>
    <w:rsid w:val="007A75B7"/>
    <w:rsid w:val="007B07A5"/>
    <w:rsid w:val="007B0925"/>
    <w:rsid w:val="007B0B57"/>
    <w:rsid w:val="007B0E9C"/>
    <w:rsid w:val="007B1097"/>
    <w:rsid w:val="007B14F6"/>
    <w:rsid w:val="007B3CFB"/>
    <w:rsid w:val="007B3F77"/>
    <w:rsid w:val="007B4266"/>
    <w:rsid w:val="007B43FE"/>
    <w:rsid w:val="007B45F9"/>
    <w:rsid w:val="007B4614"/>
    <w:rsid w:val="007B493E"/>
    <w:rsid w:val="007B4EB3"/>
    <w:rsid w:val="007B622D"/>
    <w:rsid w:val="007B680C"/>
    <w:rsid w:val="007B7B31"/>
    <w:rsid w:val="007C0F91"/>
    <w:rsid w:val="007C16C3"/>
    <w:rsid w:val="007C28FF"/>
    <w:rsid w:val="007C5354"/>
    <w:rsid w:val="007C5510"/>
    <w:rsid w:val="007C5625"/>
    <w:rsid w:val="007C5E2E"/>
    <w:rsid w:val="007C6417"/>
    <w:rsid w:val="007C67DD"/>
    <w:rsid w:val="007C690B"/>
    <w:rsid w:val="007C78E6"/>
    <w:rsid w:val="007D00E3"/>
    <w:rsid w:val="007D0477"/>
    <w:rsid w:val="007D11E0"/>
    <w:rsid w:val="007D16BE"/>
    <w:rsid w:val="007D1F98"/>
    <w:rsid w:val="007D2476"/>
    <w:rsid w:val="007D2D27"/>
    <w:rsid w:val="007D2D79"/>
    <w:rsid w:val="007D301D"/>
    <w:rsid w:val="007D3B5C"/>
    <w:rsid w:val="007D3B95"/>
    <w:rsid w:val="007D42C6"/>
    <w:rsid w:val="007D4C03"/>
    <w:rsid w:val="007D4CF5"/>
    <w:rsid w:val="007D4DF8"/>
    <w:rsid w:val="007D550A"/>
    <w:rsid w:val="007D5E2F"/>
    <w:rsid w:val="007D616E"/>
    <w:rsid w:val="007D64BC"/>
    <w:rsid w:val="007D79B0"/>
    <w:rsid w:val="007E0771"/>
    <w:rsid w:val="007E0B5A"/>
    <w:rsid w:val="007E15ED"/>
    <w:rsid w:val="007E1C47"/>
    <w:rsid w:val="007E26D1"/>
    <w:rsid w:val="007E2C34"/>
    <w:rsid w:val="007E3688"/>
    <w:rsid w:val="007E3CBA"/>
    <w:rsid w:val="007E76BD"/>
    <w:rsid w:val="007E779B"/>
    <w:rsid w:val="007E78E3"/>
    <w:rsid w:val="007E7F89"/>
    <w:rsid w:val="007F06D2"/>
    <w:rsid w:val="007F08BB"/>
    <w:rsid w:val="007F0C28"/>
    <w:rsid w:val="007F0EED"/>
    <w:rsid w:val="007F1606"/>
    <w:rsid w:val="007F1F60"/>
    <w:rsid w:val="007F2FBF"/>
    <w:rsid w:val="007F37E0"/>
    <w:rsid w:val="007F3E90"/>
    <w:rsid w:val="007F4D06"/>
    <w:rsid w:val="007F5EC7"/>
    <w:rsid w:val="007F6F01"/>
    <w:rsid w:val="0080019C"/>
    <w:rsid w:val="00802A97"/>
    <w:rsid w:val="00802ED5"/>
    <w:rsid w:val="00803A15"/>
    <w:rsid w:val="00803FA4"/>
    <w:rsid w:val="00804A24"/>
    <w:rsid w:val="00805F50"/>
    <w:rsid w:val="008069E2"/>
    <w:rsid w:val="00806B4B"/>
    <w:rsid w:val="00807086"/>
    <w:rsid w:val="00807C2B"/>
    <w:rsid w:val="008107BE"/>
    <w:rsid w:val="00811A02"/>
    <w:rsid w:val="008123B2"/>
    <w:rsid w:val="00812BB8"/>
    <w:rsid w:val="00814113"/>
    <w:rsid w:val="00814A78"/>
    <w:rsid w:val="008163F8"/>
    <w:rsid w:val="008169D5"/>
    <w:rsid w:val="00816CA1"/>
    <w:rsid w:val="0081721D"/>
    <w:rsid w:val="008172C6"/>
    <w:rsid w:val="0081756D"/>
    <w:rsid w:val="008202BF"/>
    <w:rsid w:val="00820529"/>
    <w:rsid w:val="00820DB4"/>
    <w:rsid w:val="00820FB8"/>
    <w:rsid w:val="008212CA"/>
    <w:rsid w:val="008212CD"/>
    <w:rsid w:val="008217EF"/>
    <w:rsid w:val="00821D2D"/>
    <w:rsid w:val="00822681"/>
    <w:rsid w:val="00823553"/>
    <w:rsid w:val="00823888"/>
    <w:rsid w:val="00823909"/>
    <w:rsid w:val="00823C42"/>
    <w:rsid w:val="0082442F"/>
    <w:rsid w:val="008248CC"/>
    <w:rsid w:val="008253A2"/>
    <w:rsid w:val="00826B14"/>
    <w:rsid w:val="00826CE2"/>
    <w:rsid w:val="00826F45"/>
    <w:rsid w:val="008278BB"/>
    <w:rsid w:val="00827D0A"/>
    <w:rsid w:val="0083004A"/>
    <w:rsid w:val="0083091C"/>
    <w:rsid w:val="00830AE9"/>
    <w:rsid w:val="00830E90"/>
    <w:rsid w:val="00831401"/>
    <w:rsid w:val="00831FEF"/>
    <w:rsid w:val="0083269B"/>
    <w:rsid w:val="008329DC"/>
    <w:rsid w:val="00832C31"/>
    <w:rsid w:val="008344E1"/>
    <w:rsid w:val="008345BE"/>
    <w:rsid w:val="008351C5"/>
    <w:rsid w:val="00835C55"/>
    <w:rsid w:val="00836C7E"/>
    <w:rsid w:val="00837507"/>
    <w:rsid w:val="00837C28"/>
    <w:rsid w:val="00837FD8"/>
    <w:rsid w:val="00840980"/>
    <w:rsid w:val="00840A4D"/>
    <w:rsid w:val="00841FB2"/>
    <w:rsid w:val="00842E31"/>
    <w:rsid w:val="008434BC"/>
    <w:rsid w:val="0084462A"/>
    <w:rsid w:val="00844A40"/>
    <w:rsid w:val="008460C4"/>
    <w:rsid w:val="00847435"/>
    <w:rsid w:val="00847DA5"/>
    <w:rsid w:val="0085169F"/>
    <w:rsid w:val="00851BC5"/>
    <w:rsid w:val="00851F56"/>
    <w:rsid w:val="00852008"/>
    <w:rsid w:val="00852868"/>
    <w:rsid w:val="00854CDA"/>
    <w:rsid w:val="008552C8"/>
    <w:rsid w:val="008557E2"/>
    <w:rsid w:val="00855B86"/>
    <w:rsid w:val="00855FFE"/>
    <w:rsid w:val="0085652E"/>
    <w:rsid w:val="00860263"/>
    <w:rsid w:val="00861AEE"/>
    <w:rsid w:val="00861E08"/>
    <w:rsid w:val="00861F2E"/>
    <w:rsid w:val="008630A8"/>
    <w:rsid w:val="00863578"/>
    <w:rsid w:val="008639CF"/>
    <w:rsid w:val="00863A84"/>
    <w:rsid w:val="00863CC9"/>
    <w:rsid w:val="00863EA6"/>
    <w:rsid w:val="00865617"/>
    <w:rsid w:val="00865C46"/>
    <w:rsid w:val="00865E5A"/>
    <w:rsid w:val="00866F81"/>
    <w:rsid w:val="00867AF4"/>
    <w:rsid w:val="00870BC3"/>
    <w:rsid w:val="00870C51"/>
    <w:rsid w:val="00870E6C"/>
    <w:rsid w:val="008724EB"/>
    <w:rsid w:val="008728BD"/>
    <w:rsid w:val="00873A13"/>
    <w:rsid w:val="008744E9"/>
    <w:rsid w:val="00874D16"/>
    <w:rsid w:val="008764AC"/>
    <w:rsid w:val="0087694E"/>
    <w:rsid w:val="008777DF"/>
    <w:rsid w:val="00880D05"/>
    <w:rsid w:val="00880EE3"/>
    <w:rsid w:val="008822DB"/>
    <w:rsid w:val="008835EA"/>
    <w:rsid w:val="00884069"/>
    <w:rsid w:val="008844DA"/>
    <w:rsid w:val="00884AD1"/>
    <w:rsid w:val="00884AFD"/>
    <w:rsid w:val="00884FC8"/>
    <w:rsid w:val="008866B6"/>
    <w:rsid w:val="008869EC"/>
    <w:rsid w:val="00890546"/>
    <w:rsid w:val="00890A55"/>
    <w:rsid w:val="00890CA6"/>
    <w:rsid w:val="00893157"/>
    <w:rsid w:val="008937C9"/>
    <w:rsid w:val="00893B59"/>
    <w:rsid w:val="00893EFB"/>
    <w:rsid w:val="0089439D"/>
    <w:rsid w:val="0089585F"/>
    <w:rsid w:val="00895CCC"/>
    <w:rsid w:val="00896550"/>
    <w:rsid w:val="00896E1E"/>
    <w:rsid w:val="008A01BE"/>
    <w:rsid w:val="008A0235"/>
    <w:rsid w:val="008A10B5"/>
    <w:rsid w:val="008A124F"/>
    <w:rsid w:val="008A245E"/>
    <w:rsid w:val="008A32CE"/>
    <w:rsid w:val="008A3B59"/>
    <w:rsid w:val="008A4997"/>
    <w:rsid w:val="008A4C00"/>
    <w:rsid w:val="008A611D"/>
    <w:rsid w:val="008A695A"/>
    <w:rsid w:val="008A6DD2"/>
    <w:rsid w:val="008B0564"/>
    <w:rsid w:val="008B0FFC"/>
    <w:rsid w:val="008B1A03"/>
    <w:rsid w:val="008B1F47"/>
    <w:rsid w:val="008B219F"/>
    <w:rsid w:val="008B25E0"/>
    <w:rsid w:val="008B3BDC"/>
    <w:rsid w:val="008B3E26"/>
    <w:rsid w:val="008B4177"/>
    <w:rsid w:val="008B5FA9"/>
    <w:rsid w:val="008B6416"/>
    <w:rsid w:val="008B6565"/>
    <w:rsid w:val="008B681A"/>
    <w:rsid w:val="008B759D"/>
    <w:rsid w:val="008B7EBA"/>
    <w:rsid w:val="008C07C5"/>
    <w:rsid w:val="008C0D2D"/>
    <w:rsid w:val="008C102A"/>
    <w:rsid w:val="008C1588"/>
    <w:rsid w:val="008C15C9"/>
    <w:rsid w:val="008C1C5F"/>
    <w:rsid w:val="008C35DE"/>
    <w:rsid w:val="008C374F"/>
    <w:rsid w:val="008C3AEE"/>
    <w:rsid w:val="008C3BB0"/>
    <w:rsid w:val="008C437B"/>
    <w:rsid w:val="008C4571"/>
    <w:rsid w:val="008C45DB"/>
    <w:rsid w:val="008C4804"/>
    <w:rsid w:val="008C5537"/>
    <w:rsid w:val="008C5B25"/>
    <w:rsid w:val="008C5D10"/>
    <w:rsid w:val="008C649F"/>
    <w:rsid w:val="008C6778"/>
    <w:rsid w:val="008C6AEF"/>
    <w:rsid w:val="008C711C"/>
    <w:rsid w:val="008C718E"/>
    <w:rsid w:val="008D0573"/>
    <w:rsid w:val="008D08CB"/>
    <w:rsid w:val="008D0CF8"/>
    <w:rsid w:val="008D11BF"/>
    <w:rsid w:val="008D159B"/>
    <w:rsid w:val="008D1A83"/>
    <w:rsid w:val="008D27C3"/>
    <w:rsid w:val="008D3040"/>
    <w:rsid w:val="008D31DC"/>
    <w:rsid w:val="008D353D"/>
    <w:rsid w:val="008D534A"/>
    <w:rsid w:val="008D55C1"/>
    <w:rsid w:val="008D6797"/>
    <w:rsid w:val="008D732B"/>
    <w:rsid w:val="008D7887"/>
    <w:rsid w:val="008D7B7F"/>
    <w:rsid w:val="008E0D90"/>
    <w:rsid w:val="008E0EB7"/>
    <w:rsid w:val="008E1076"/>
    <w:rsid w:val="008E191A"/>
    <w:rsid w:val="008E2941"/>
    <w:rsid w:val="008E353A"/>
    <w:rsid w:val="008E3F13"/>
    <w:rsid w:val="008E4C9B"/>
    <w:rsid w:val="008E69B0"/>
    <w:rsid w:val="008F01FB"/>
    <w:rsid w:val="008F03F0"/>
    <w:rsid w:val="008F05FF"/>
    <w:rsid w:val="008F0DC4"/>
    <w:rsid w:val="008F1BD9"/>
    <w:rsid w:val="008F1D7A"/>
    <w:rsid w:val="008F215C"/>
    <w:rsid w:val="008F2565"/>
    <w:rsid w:val="008F4265"/>
    <w:rsid w:val="008F47F6"/>
    <w:rsid w:val="008F5147"/>
    <w:rsid w:val="008F5616"/>
    <w:rsid w:val="008F5E80"/>
    <w:rsid w:val="008F5ECB"/>
    <w:rsid w:val="008F612A"/>
    <w:rsid w:val="008F6663"/>
    <w:rsid w:val="008F6DA8"/>
    <w:rsid w:val="008F7442"/>
    <w:rsid w:val="009009ED"/>
    <w:rsid w:val="00900ADC"/>
    <w:rsid w:val="009015F9"/>
    <w:rsid w:val="00901624"/>
    <w:rsid w:val="00902347"/>
    <w:rsid w:val="0090409C"/>
    <w:rsid w:val="0090447B"/>
    <w:rsid w:val="00905BBC"/>
    <w:rsid w:val="009062F7"/>
    <w:rsid w:val="00906969"/>
    <w:rsid w:val="00906E58"/>
    <w:rsid w:val="009078CA"/>
    <w:rsid w:val="009111BD"/>
    <w:rsid w:val="009113A7"/>
    <w:rsid w:val="00911658"/>
    <w:rsid w:val="0091166A"/>
    <w:rsid w:val="00911EA2"/>
    <w:rsid w:val="00911FED"/>
    <w:rsid w:val="0091330B"/>
    <w:rsid w:val="0091476E"/>
    <w:rsid w:val="0091519D"/>
    <w:rsid w:val="009155C6"/>
    <w:rsid w:val="00915B15"/>
    <w:rsid w:val="00920C78"/>
    <w:rsid w:val="009213E3"/>
    <w:rsid w:val="00921713"/>
    <w:rsid w:val="00922020"/>
    <w:rsid w:val="0092268D"/>
    <w:rsid w:val="00922EE2"/>
    <w:rsid w:val="00923356"/>
    <w:rsid w:val="00923437"/>
    <w:rsid w:val="00924AF7"/>
    <w:rsid w:val="00924CE5"/>
    <w:rsid w:val="009254ED"/>
    <w:rsid w:val="00925EF4"/>
    <w:rsid w:val="00926265"/>
    <w:rsid w:val="00926D4F"/>
    <w:rsid w:val="00926E30"/>
    <w:rsid w:val="0093023E"/>
    <w:rsid w:val="009306B7"/>
    <w:rsid w:val="00930E48"/>
    <w:rsid w:val="00930F3F"/>
    <w:rsid w:val="00931D7C"/>
    <w:rsid w:val="0093273A"/>
    <w:rsid w:val="009339A1"/>
    <w:rsid w:val="00933B46"/>
    <w:rsid w:val="00933C20"/>
    <w:rsid w:val="00933CED"/>
    <w:rsid w:val="00934FCD"/>
    <w:rsid w:val="00935858"/>
    <w:rsid w:val="00936FE5"/>
    <w:rsid w:val="009377C7"/>
    <w:rsid w:val="00940890"/>
    <w:rsid w:val="0094192B"/>
    <w:rsid w:val="0094193C"/>
    <w:rsid w:val="00941B80"/>
    <w:rsid w:val="00941BDB"/>
    <w:rsid w:val="00942243"/>
    <w:rsid w:val="00942779"/>
    <w:rsid w:val="00944024"/>
    <w:rsid w:val="009447C3"/>
    <w:rsid w:val="00945670"/>
    <w:rsid w:val="00945F1F"/>
    <w:rsid w:val="009460F1"/>
    <w:rsid w:val="00946FDE"/>
    <w:rsid w:val="009477DC"/>
    <w:rsid w:val="009534E1"/>
    <w:rsid w:val="00953E03"/>
    <w:rsid w:val="00954FBA"/>
    <w:rsid w:val="009561B0"/>
    <w:rsid w:val="00956DDC"/>
    <w:rsid w:val="00957C5B"/>
    <w:rsid w:val="0096066A"/>
    <w:rsid w:val="00960AF9"/>
    <w:rsid w:val="00961235"/>
    <w:rsid w:val="0096284B"/>
    <w:rsid w:val="00962D12"/>
    <w:rsid w:val="009631E6"/>
    <w:rsid w:val="00963AD5"/>
    <w:rsid w:val="00964AFB"/>
    <w:rsid w:val="00966A4A"/>
    <w:rsid w:val="00966E13"/>
    <w:rsid w:val="009670BB"/>
    <w:rsid w:val="00970239"/>
    <w:rsid w:val="009702B1"/>
    <w:rsid w:val="0097211C"/>
    <w:rsid w:val="00972415"/>
    <w:rsid w:val="00972B8B"/>
    <w:rsid w:val="00973301"/>
    <w:rsid w:val="00973B68"/>
    <w:rsid w:val="00973B81"/>
    <w:rsid w:val="00973CC0"/>
    <w:rsid w:val="009747A4"/>
    <w:rsid w:val="00974940"/>
    <w:rsid w:val="0097594F"/>
    <w:rsid w:val="00975BC6"/>
    <w:rsid w:val="009760A2"/>
    <w:rsid w:val="009777DF"/>
    <w:rsid w:val="009802AC"/>
    <w:rsid w:val="00981462"/>
    <w:rsid w:val="00981BBB"/>
    <w:rsid w:val="00981D0C"/>
    <w:rsid w:val="0098231A"/>
    <w:rsid w:val="00982634"/>
    <w:rsid w:val="00983312"/>
    <w:rsid w:val="009857FE"/>
    <w:rsid w:val="00985C0C"/>
    <w:rsid w:val="00985D34"/>
    <w:rsid w:val="009860E5"/>
    <w:rsid w:val="009860EE"/>
    <w:rsid w:val="009877C3"/>
    <w:rsid w:val="00990244"/>
    <w:rsid w:val="00990B46"/>
    <w:rsid w:val="00990C5B"/>
    <w:rsid w:val="00990E1F"/>
    <w:rsid w:val="009911D6"/>
    <w:rsid w:val="00992689"/>
    <w:rsid w:val="009929FF"/>
    <w:rsid w:val="00993584"/>
    <w:rsid w:val="009938A7"/>
    <w:rsid w:val="00995677"/>
    <w:rsid w:val="0099573A"/>
    <w:rsid w:val="00995C4D"/>
    <w:rsid w:val="009962E5"/>
    <w:rsid w:val="00996C9A"/>
    <w:rsid w:val="00996DE7"/>
    <w:rsid w:val="009978FC"/>
    <w:rsid w:val="00997CE4"/>
    <w:rsid w:val="00997D78"/>
    <w:rsid w:val="009A09C3"/>
    <w:rsid w:val="009A0A18"/>
    <w:rsid w:val="009A0B06"/>
    <w:rsid w:val="009A13EE"/>
    <w:rsid w:val="009A1711"/>
    <w:rsid w:val="009A1D52"/>
    <w:rsid w:val="009A2FC6"/>
    <w:rsid w:val="009A38D6"/>
    <w:rsid w:val="009A3FC7"/>
    <w:rsid w:val="009A496A"/>
    <w:rsid w:val="009A4A7E"/>
    <w:rsid w:val="009A4FBB"/>
    <w:rsid w:val="009A577A"/>
    <w:rsid w:val="009A5991"/>
    <w:rsid w:val="009A5A63"/>
    <w:rsid w:val="009A702D"/>
    <w:rsid w:val="009A7C3E"/>
    <w:rsid w:val="009A7EA9"/>
    <w:rsid w:val="009B0514"/>
    <w:rsid w:val="009B0765"/>
    <w:rsid w:val="009B0E84"/>
    <w:rsid w:val="009B0F01"/>
    <w:rsid w:val="009B0F30"/>
    <w:rsid w:val="009B0F5D"/>
    <w:rsid w:val="009B10FF"/>
    <w:rsid w:val="009B13B5"/>
    <w:rsid w:val="009B1F66"/>
    <w:rsid w:val="009B1FE0"/>
    <w:rsid w:val="009B2314"/>
    <w:rsid w:val="009B2B44"/>
    <w:rsid w:val="009B32ED"/>
    <w:rsid w:val="009B39C2"/>
    <w:rsid w:val="009B40AA"/>
    <w:rsid w:val="009B47AD"/>
    <w:rsid w:val="009B4A51"/>
    <w:rsid w:val="009B55ED"/>
    <w:rsid w:val="009B5E18"/>
    <w:rsid w:val="009B6577"/>
    <w:rsid w:val="009B7B39"/>
    <w:rsid w:val="009C15BA"/>
    <w:rsid w:val="009C1B8B"/>
    <w:rsid w:val="009C240E"/>
    <w:rsid w:val="009C28D9"/>
    <w:rsid w:val="009C2C60"/>
    <w:rsid w:val="009C3CFC"/>
    <w:rsid w:val="009C3EB2"/>
    <w:rsid w:val="009C479A"/>
    <w:rsid w:val="009C7AE8"/>
    <w:rsid w:val="009D0EE6"/>
    <w:rsid w:val="009D1687"/>
    <w:rsid w:val="009D1D69"/>
    <w:rsid w:val="009D2878"/>
    <w:rsid w:val="009D2AFC"/>
    <w:rsid w:val="009D2EBC"/>
    <w:rsid w:val="009D3514"/>
    <w:rsid w:val="009D3A68"/>
    <w:rsid w:val="009D3EF5"/>
    <w:rsid w:val="009D4A38"/>
    <w:rsid w:val="009D511E"/>
    <w:rsid w:val="009D5EF7"/>
    <w:rsid w:val="009D62F4"/>
    <w:rsid w:val="009D6BEC"/>
    <w:rsid w:val="009D7089"/>
    <w:rsid w:val="009E0252"/>
    <w:rsid w:val="009E1437"/>
    <w:rsid w:val="009E1852"/>
    <w:rsid w:val="009E1D25"/>
    <w:rsid w:val="009E2440"/>
    <w:rsid w:val="009E3EAD"/>
    <w:rsid w:val="009E4B5A"/>
    <w:rsid w:val="009E4B80"/>
    <w:rsid w:val="009E67F0"/>
    <w:rsid w:val="009F1B5C"/>
    <w:rsid w:val="009F24FB"/>
    <w:rsid w:val="009F26BB"/>
    <w:rsid w:val="009F306D"/>
    <w:rsid w:val="009F3354"/>
    <w:rsid w:val="009F3511"/>
    <w:rsid w:val="009F48DE"/>
    <w:rsid w:val="009F4ED1"/>
    <w:rsid w:val="009F721E"/>
    <w:rsid w:val="009F7508"/>
    <w:rsid w:val="009F7880"/>
    <w:rsid w:val="009F7E4C"/>
    <w:rsid w:val="00A00508"/>
    <w:rsid w:val="00A008C0"/>
    <w:rsid w:val="00A01FB5"/>
    <w:rsid w:val="00A02112"/>
    <w:rsid w:val="00A02B05"/>
    <w:rsid w:val="00A03AA4"/>
    <w:rsid w:val="00A03B54"/>
    <w:rsid w:val="00A04BE7"/>
    <w:rsid w:val="00A04DB9"/>
    <w:rsid w:val="00A0512D"/>
    <w:rsid w:val="00A0596E"/>
    <w:rsid w:val="00A069C2"/>
    <w:rsid w:val="00A07467"/>
    <w:rsid w:val="00A0764A"/>
    <w:rsid w:val="00A079EF"/>
    <w:rsid w:val="00A07A35"/>
    <w:rsid w:val="00A100BE"/>
    <w:rsid w:val="00A1049D"/>
    <w:rsid w:val="00A10F2B"/>
    <w:rsid w:val="00A11576"/>
    <w:rsid w:val="00A11F57"/>
    <w:rsid w:val="00A12206"/>
    <w:rsid w:val="00A13F56"/>
    <w:rsid w:val="00A14423"/>
    <w:rsid w:val="00A1463D"/>
    <w:rsid w:val="00A15246"/>
    <w:rsid w:val="00A15628"/>
    <w:rsid w:val="00A16E7E"/>
    <w:rsid w:val="00A16F63"/>
    <w:rsid w:val="00A170E3"/>
    <w:rsid w:val="00A1739E"/>
    <w:rsid w:val="00A1749E"/>
    <w:rsid w:val="00A176BF"/>
    <w:rsid w:val="00A1799E"/>
    <w:rsid w:val="00A17A8A"/>
    <w:rsid w:val="00A200C5"/>
    <w:rsid w:val="00A20BB0"/>
    <w:rsid w:val="00A21396"/>
    <w:rsid w:val="00A2186F"/>
    <w:rsid w:val="00A2268C"/>
    <w:rsid w:val="00A231AC"/>
    <w:rsid w:val="00A231EA"/>
    <w:rsid w:val="00A23211"/>
    <w:rsid w:val="00A23425"/>
    <w:rsid w:val="00A23D19"/>
    <w:rsid w:val="00A26561"/>
    <w:rsid w:val="00A26DA3"/>
    <w:rsid w:val="00A27085"/>
    <w:rsid w:val="00A27BCD"/>
    <w:rsid w:val="00A309F1"/>
    <w:rsid w:val="00A30EEA"/>
    <w:rsid w:val="00A30F1A"/>
    <w:rsid w:val="00A31055"/>
    <w:rsid w:val="00A31CB7"/>
    <w:rsid w:val="00A33675"/>
    <w:rsid w:val="00A336FF"/>
    <w:rsid w:val="00A351BC"/>
    <w:rsid w:val="00A357A7"/>
    <w:rsid w:val="00A359F4"/>
    <w:rsid w:val="00A3606A"/>
    <w:rsid w:val="00A3616A"/>
    <w:rsid w:val="00A377B4"/>
    <w:rsid w:val="00A37A7B"/>
    <w:rsid w:val="00A402EC"/>
    <w:rsid w:val="00A405C4"/>
    <w:rsid w:val="00A40EC4"/>
    <w:rsid w:val="00A41EAF"/>
    <w:rsid w:val="00A422F3"/>
    <w:rsid w:val="00A42A4D"/>
    <w:rsid w:val="00A42B5D"/>
    <w:rsid w:val="00A4344E"/>
    <w:rsid w:val="00A444DD"/>
    <w:rsid w:val="00A45089"/>
    <w:rsid w:val="00A452A8"/>
    <w:rsid w:val="00A452E3"/>
    <w:rsid w:val="00A455BA"/>
    <w:rsid w:val="00A45A3B"/>
    <w:rsid w:val="00A46A0C"/>
    <w:rsid w:val="00A5002A"/>
    <w:rsid w:val="00A50438"/>
    <w:rsid w:val="00A5073D"/>
    <w:rsid w:val="00A511B1"/>
    <w:rsid w:val="00A52B3E"/>
    <w:rsid w:val="00A52DF9"/>
    <w:rsid w:val="00A5322D"/>
    <w:rsid w:val="00A5380C"/>
    <w:rsid w:val="00A5484C"/>
    <w:rsid w:val="00A55280"/>
    <w:rsid w:val="00A55335"/>
    <w:rsid w:val="00A5585F"/>
    <w:rsid w:val="00A55930"/>
    <w:rsid w:val="00A55967"/>
    <w:rsid w:val="00A55B52"/>
    <w:rsid w:val="00A563FA"/>
    <w:rsid w:val="00A56B51"/>
    <w:rsid w:val="00A57BA8"/>
    <w:rsid w:val="00A6046C"/>
    <w:rsid w:val="00A61375"/>
    <w:rsid w:val="00A61424"/>
    <w:rsid w:val="00A629D4"/>
    <w:rsid w:val="00A62C13"/>
    <w:rsid w:val="00A63403"/>
    <w:rsid w:val="00A639FE"/>
    <w:rsid w:val="00A6481F"/>
    <w:rsid w:val="00A64CA5"/>
    <w:rsid w:val="00A65989"/>
    <w:rsid w:val="00A65A3A"/>
    <w:rsid w:val="00A65B83"/>
    <w:rsid w:val="00A66B7D"/>
    <w:rsid w:val="00A67658"/>
    <w:rsid w:val="00A70052"/>
    <w:rsid w:val="00A70069"/>
    <w:rsid w:val="00A70900"/>
    <w:rsid w:val="00A7125D"/>
    <w:rsid w:val="00A717E4"/>
    <w:rsid w:val="00A71F79"/>
    <w:rsid w:val="00A72BDB"/>
    <w:rsid w:val="00A74DC1"/>
    <w:rsid w:val="00A75BC3"/>
    <w:rsid w:val="00A767D3"/>
    <w:rsid w:val="00A76B54"/>
    <w:rsid w:val="00A7702B"/>
    <w:rsid w:val="00A807C8"/>
    <w:rsid w:val="00A8135F"/>
    <w:rsid w:val="00A819DF"/>
    <w:rsid w:val="00A81EA3"/>
    <w:rsid w:val="00A82791"/>
    <w:rsid w:val="00A82C4B"/>
    <w:rsid w:val="00A83677"/>
    <w:rsid w:val="00A8386D"/>
    <w:rsid w:val="00A83984"/>
    <w:rsid w:val="00A83C37"/>
    <w:rsid w:val="00A84572"/>
    <w:rsid w:val="00A8541D"/>
    <w:rsid w:val="00A854C5"/>
    <w:rsid w:val="00A86763"/>
    <w:rsid w:val="00A868DA"/>
    <w:rsid w:val="00A86999"/>
    <w:rsid w:val="00A877CB"/>
    <w:rsid w:val="00A90917"/>
    <w:rsid w:val="00A9111C"/>
    <w:rsid w:val="00A92356"/>
    <w:rsid w:val="00A9271D"/>
    <w:rsid w:val="00A93297"/>
    <w:rsid w:val="00A9375A"/>
    <w:rsid w:val="00A93E4B"/>
    <w:rsid w:val="00A93FB9"/>
    <w:rsid w:val="00A94736"/>
    <w:rsid w:val="00A94850"/>
    <w:rsid w:val="00A94968"/>
    <w:rsid w:val="00A95D93"/>
    <w:rsid w:val="00A975E7"/>
    <w:rsid w:val="00A97AF1"/>
    <w:rsid w:val="00AA26D5"/>
    <w:rsid w:val="00AA2AC4"/>
    <w:rsid w:val="00AA2ADC"/>
    <w:rsid w:val="00AA2C41"/>
    <w:rsid w:val="00AA2CCF"/>
    <w:rsid w:val="00AA375F"/>
    <w:rsid w:val="00AA3D16"/>
    <w:rsid w:val="00AA55FD"/>
    <w:rsid w:val="00AA57C0"/>
    <w:rsid w:val="00AA5F69"/>
    <w:rsid w:val="00AA6463"/>
    <w:rsid w:val="00AA7445"/>
    <w:rsid w:val="00AA76C1"/>
    <w:rsid w:val="00AB0FC9"/>
    <w:rsid w:val="00AB1053"/>
    <w:rsid w:val="00AB1658"/>
    <w:rsid w:val="00AB3FB1"/>
    <w:rsid w:val="00AB432C"/>
    <w:rsid w:val="00AB460B"/>
    <w:rsid w:val="00AB4BC7"/>
    <w:rsid w:val="00AB5A79"/>
    <w:rsid w:val="00AB5F65"/>
    <w:rsid w:val="00AB6227"/>
    <w:rsid w:val="00AB79BC"/>
    <w:rsid w:val="00AB7C23"/>
    <w:rsid w:val="00AC01ED"/>
    <w:rsid w:val="00AC065B"/>
    <w:rsid w:val="00AC1316"/>
    <w:rsid w:val="00AC15FE"/>
    <w:rsid w:val="00AC1B96"/>
    <w:rsid w:val="00AC1B98"/>
    <w:rsid w:val="00AC3AAD"/>
    <w:rsid w:val="00AC4145"/>
    <w:rsid w:val="00AC465E"/>
    <w:rsid w:val="00AC6435"/>
    <w:rsid w:val="00AC6650"/>
    <w:rsid w:val="00AC77EE"/>
    <w:rsid w:val="00AC7870"/>
    <w:rsid w:val="00AD02C2"/>
    <w:rsid w:val="00AD0E5A"/>
    <w:rsid w:val="00AD193C"/>
    <w:rsid w:val="00AD2076"/>
    <w:rsid w:val="00AD21DF"/>
    <w:rsid w:val="00AD30F4"/>
    <w:rsid w:val="00AD364F"/>
    <w:rsid w:val="00AD3AB0"/>
    <w:rsid w:val="00AD3FC5"/>
    <w:rsid w:val="00AD4F0C"/>
    <w:rsid w:val="00AD5198"/>
    <w:rsid w:val="00AD61EE"/>
    <w:rsid w:val="00AD6370"/>
    <w:rsid w:val="00AD64D6"/>
    <w:rsid w:val="00AD65A9"/>
    <w:rsid w:val="00AD6DD5"/>
    <w:rsid w:val="00AE1522"/>
    <w:rsid w:val="00AE1BCB"/>
    <w:rsid w:val="00AE1F94"/>
    <w:rsid w:val="00AE385B"/>
    <w:rsid w:val="00AE391D"/>
    <w:rsid w:val="00AE417E"/>
    <w:rsid w:val="00AE4342"/>
    <w:rsid w:val="00AE4573"/>
    <w:rsid w:val="00AE46CF"/>
    <w:rsid w:val="00AE4728"/>
    <w:rsid w:val="00AE4B06"/>
    <w:rsid w:val="00AE5856"/>
    <w:rsid w:val="00AE74F6"/>
    <w:rsid w:val="00AE763B"/>
    <w:rsid w:val="00AE7986"/>
    <w:rsid w:val="00AF00B1"/>
    <w:rsid w:val="00AF0344"/>
    <w:rsid w:val="00AF0608"/>
    <w:rsid w:val="00AF139B"/>
    <w:rsid w:val="00AF1ECE"/>
    <w:rsid w:val="00AF285B"/>
    <w:rsid w:val="00AF2947"/>
    <w:rsid w:val="00AF29CB"/>
    <w:rsid w:val="00AF335E"/>
    <w:rsid w:val="00AF3550"/>
    <w:rsid w:val="00AF3982"/>
    <w:rsid w:val="00AF51EE"/>
    <w:rsid w:val="00AF6700"/>
    <w:rsid w:val="00AF67D0"/>
    <w:rsid w:val="00AF6921"/>
    <w:rsid w:val="00AF7848"/>
    <w:rsid w:val="00AF7D32"/>
    <w:rsid w:val="00AF7D89"/>
    <w:rsid w:val="00B0013E"/>
    <w:rsid w:val="00B013CC"/>
    <w:rsid w:val="00B0193F"/>
    <w:rsid w:val="00B0209F"/>
    <w:rsid w:val="00B02D0B"/>
    <w:rsid w:val="00B03733"/>
    <w:rsid w:val="00B03793"/>
    <w:rsid w:val="00B037A4"/>
    <w:rsid w:val="00B03EE8"/>
    <w:rsid w:val="00B055EE"/>
    <w:rsid w:val="00B05700"/>
    <w:rsid w:val="00B059AA"/>
    <w:rsid w:val="00B066A0"/>
    <w:rsid w:val="00B06ACA"/>
    <w:rsid w:val="00B0726A"/>
    <w:rsid w:val="00B077E2"/>
    <w:rsid w:val="00B07ED0"/>
    <w:rsid w:val="00B115B0"/>
    <w:rsid w:val="00B117A6"/>
    <w:rsid w:val="00B11B48"/>
    <w:rsid w:val="00B12B28"/>
    <w:rsid w:val="00B13191"/>
    <w:rsid w:val="00B141A2"/>
    <w:rsid w:val="00B152CE"/>
    <w:rsid w:val="00B153FE"/>
    <w:rsid w:val="00B15DBD"/>
    <w:rsid w:val="00B16C4D"/>
    <w:rsid w:val="00B16E92"/>
    <w:rsid w:val="00B17363"/>
    <w:rsid w:val="00B2136C"/>
    <w:rsid w:val="00B2212D"/>
    <w:rsid w:val="00B22D79"/>
    <w:rsid w:val="00B23608"/>
    <w:rsid w:val="00B236F9"/>
    <w:rsid w:val="00B260AD"/>
    <w:rsid w:val="00B2664B"/>
    <w:rsid w:val="00B26E6F"/>
    <w:rsid w:val="00B27123"/>
    <w:rsid w:val="00B271CA"/>
    <w:rsid w:val="00B27B07"/>
    <w:rsid w:val="00B27DE6"/>
    <w:rsid w:val="00B304BF"/>
    <w:rsid w:val="00B306C3"/>
    <w:rsid w:val="00B33DA6"/>
    <w:rsid w:val="00B33EE8"/>
    <w:rsid w:val="00B34876"/>
    <w:rsid w:val="00B34A27"/>
    <w:rsid w:val="00B35013"/>
    <w:rsid w:val="00B35656"/>
    <w:rsid w:val="00B37164"/>
    <w:rsid w:val="00B37352"/>
    <w:rsid w:val="00B3754D"/>
    <w:rsid w:val="00B40378"/>
    <w:rsid w:val="00B40D96"/>
    <w:rsid w:val="00B4115E"/>
    <w:rsid w:val="00B44751"/>
    <w:rsid w:val="00B44771"/>
    <w:rsid w:val="00B45954"/>
    <w:rsid w:val="00B45CCA"/>
    <w:rsid w:val="00B460E7"/>
    <w:rsid w:val="00B52551"/>
    <w:rsid w:val="00B5295F"/>
    <w:rsid w:val="00B52961"/>
    <w:rsid w:val="00B53142"/>
    <w:rsid w:val="00B53823"/>
    <w:rsid w:val="00B53A2D"/>
    <w:rsid w:val="00B53AD7"/>
    <w:rsid w:val="00B53B6D"/>
    <w:rsid w:val="00B53DEF"/>
    <w:rsid w:val="00B55A0C"/>
    <w:rsid w:val="00B561BF"/>
    <w:rsid w:val="00B562C3"/>
    <w:rsid w:val="00B57D79"/>
    <w:rsid w:val="00B606A1"/>
    <w:rsid w:val="00B60BD4"/>
    <w:rsid w:val="00B61924"/>
    <w:rsid w:val="00B62273"/>
    <w:rsid w:val="00B622AB"/>
    <w:rsid w:val="00B62B69"/>
    <w:rsid w:val="00B635EF"/>
    <w:rsid w:val="00B63B38"/>
    <w:rsid w:val="00B6464A"/>
    <w:rsid w:val="00B64A0F"/>
    <w:rsid w:val="00B651E2"/>
    <w:rsid w:val="00B6793E"/>
    <w:rsid w:val="00B706B8"/>
    <w:rsid w:val="00B70E0B"/>
    <w:rsid w:val="00B71964"/>
    <w:rsid w:val="00B71A4A"/>
    <w:rsid w:val="00B733FE"/>
    <w:rsid w:val="00B7388F"/>
    <w:rsid w:val="00B7389A"/>
    <w:rsid w:val="00B7454F"/>
    <w:rsid w:val="00B747BE"/>
    <w:rsid w:val="00B74CDD"/>
    <w:rsid w:val="00B7514B"/>
    <w:rsid w:val="00B75840"/>
    <w:rsid w:val="00B758EA"/>
    <w:rsid w:val="00B760D2"/>
    <w:rsid w:val="00B762B6"/>
    <w:rsid w:val="00B76AC4"/>
    <w:rsid w:val="00B76D38"/>
    <w:rsid w:val="00B76F04"/>
    <w:rsid w:val="00B771DF"/>
    <w:rsid w:val="00B807B1"/>
    <w:rsid w:val="00B807D7"/>
    <w:rsid w:val="00B81AF1"/>
    <w:rsid w:val="00B83B8F"/>
    <w:rsid w:val="00B83E01"/>
    <w:rsid w:val="00B856A0"/>
    <w:rsid w:val="00B85C5D"/>
    <w:rsid w:val="00B87DCE"/>
    <w:rsid w:val="00B90429"/>
    <w:rsid w:val="00B90541"/>
    <w:rsid w:val="00B90862"/>
    <w:rsid w:val="00B90E04"/>
    <w:rsid w:val="00B91375"/>
    <w:rsid w:val="00B9188B"/>
    <w:rsid w:val="00B920A1"/>
    <w:rsid w:val="00B92795"/>
    <w:rsid w:val="00B92AF9"/>
    <w:rsid w:val="00B93BEA"/>
    <w:rsid w:val="00B9410B"/>
    <w:rsid w:val="00B943BC"/>
    <w:rsid w:val="00B943F2"/>
    <w:rsid w:val="00B94464"/>
    <w:rsid w:val="00B944BE"/>
    <w:rsid w:val="00B9515D"/>
    <w:rsid w:val="00B95355"/>
    <w:rsid w:val="00B9544E"/>
    <w:rsid w:val="00B956D2"/>
    <w:rsid w:val="00B96376"/>
    <w:rsid w:val="00B9685D"/>
    <w:rsid w:val="00B97B21"/>
    <w:rsid w:val="00B97DFD"/>
    <w:rsid w:val="00BA051F"/>
    <w:rsid w:val="00BA09EA"/>
    <w:rsid w:val="00BA0BF2"/>
    <w:rsid w:val="00BA0E03"/>
    <w:rsid w:val="00BA125E"/>
    <w:rsid w:val="00BA2382"/>
    <w:rsid w:val="00BA2B6C"/>
    <w:rsid w:val="00BA2B8D"/>
    <w:rsid w:val="00BA31FA"/>
    <w:rsid w:val="00BA32E4"/>
    <w:rsid w:val="00BA3BE0"/>
    <w:rsid w:val="00BA3F87"/>
    <w:rsid w:val="00BA4403"/>
    <w:rsid w:val="00BA5D86"/>
    <w:rsid w:val="00BA5E7E"/>
    <w:rsid w:val="00BA5F81"/>
    <w:rsid w:val="00BA6CE6"/>
    <w:rsid w:val="00BA78B9"/>
    <w:rsid w:val="00BA7BD3"/>
    <w:rsid w:val="00BB0E46"/>
    <w:rsid w:val="00BB121B"/>
    <w:rsid w:val="00BB179E"/>
    <w:rsid w:val="00BB18E2"/>
    <w:rsid w:val="00BB2666"/>
    <w:rsid w:val="00BB3395"/>
    <w:rsid w:val="00BB37D7"/>
    <w:rsid w:val="00BB3919"/>
    <w:rsid w:val="00BB48C7"/>
    <w:rsid w:val="00BB48F4"/>
    <w:rsid w:val="00BB4E2C"/>
    <w:rsid w:val="00BB58D1"/>
    <w:rsid w:val="00BB73B9"/>
    <w:rsid w:val="00BB7478"/>
    <w:rsid w:val="00BB7855"/>
    <w:rsid w:val="00BC0331"/>
    <w:rsid w:val="00BC11E6"/>
    <w:rsid w:val="00BC1FA8"/>
    <w:rsid w:val="00BC20A4"/>
    <w:rsid w:val="00BC21B3"/>
    <w:rsid w:val="00BC3085"/>
    <w:rsid w:val="00BC4D39"/>
    <w:rsid w:val="00BC4E84"/>
    <w:rsid w:val="00BC5034"/>
    <w:rsid w:val="00BC536D"/>
    <w:rsid w:val="00BC6D18"/>
    <w:rsid w:val="00BC6E5A"/>
    <w:rsid w:val="00BC7CC1"/>
    <w:rsid w:val="00BC7E06"/>
    <w:rsid w:val="00BD0F3A"/>
    <w:rsid w:val="00BD1E13"/>
    <w:rsid w:val="00BD3801"/>
    <w:rsid w:val="00BD3B9F"/>
    <w:rsid w:val="00BD41CC"/>
    <w:rsid w:val="00BD510B"/>
    <w:rsid w:val="00BD5244"/>
    <w:rsid w:val="00BD59E9"/>
    <w:rsid w:val="00BD5B6A"/>
    <w:rsid w:val="00BD5CFC"/>
    <w:rsid w:val="00BD5F35"/>
    <w:rsid w:val="00BD6738"/>
    <w:rsid w:val="00BD695F"/>
    <w:rsid w:val="00BD6D18"/>
    <w:rsid w:val="00BD6F83"/>
    <w:rsid w:val="00BD7380"/>
    <w:rsid w:val="00BD75A9"/>
    <w:rsid w:val="00BD75EC"/>
    <w:rsid w:val="00BD768D"/>
    <w:rsid w:val="00BD7B6E"/>
    <w:rsid w:val="00BE01F4"/>
    <w:rsid w:val="00BE086D"/>
    <w:rsid w:val="00BE1043"/>
    <w:rsid w:val="00BE1B1D"/>
    <w:rsid w:val="00BE1E4E"/>
    <w:rsid w:val="00BE2674"/>
    <w:rsid w:val="00BE2F01"/>
    <w:rsid w:val="00BE2F6A"/>
    <w:rsid w:val="00BE3991"/>
    <w:rsid w:val="00BE39EF"/>
    <w:rsid w:val="00BE3CCA"/>
    <w:rsid w:val="00BE3FFA"/>
    <w:rsid w:val="00BE43E6"/>
    <w:rsid w:val="00BE7022"/>
    <w:rsid w:val="00BE73BA"/>
    <w:rsid w:val="00BE758D"/>
    <w:rsid w:val="00BE764B"/>
    <w:rsid w:val="00BE7D23"/>
    <w:rsid w:val="00BF0474"/>
    <w:rsid w:val="00BF06B4"/>
    <w:rsid w:val="00BF13F4"/>
    <w:rsid w:val="00BF146F"/>
    <w:rsid w:val="00BF1B3F"/>
    <w:rsid w:val="00BF235C"/>
    <w:rsid w:val="00BF2F2A"/>
    <w:rsid w:val="00BF304D"/>
    <w:rsid w:val="00BF3405"/>
    <w:rsid w:val="00BF4209"/>
    <w:rsid w:val="00BF4C45"/>
    <w:rsid w:val="00BF4E2C"/>
    <w:rsid w:val="00BF5BAF"/>
    <w:rsid w:val="00BF5BDD"/>
    <w:rsid w:val="00BF5C46"/>
    <w:rsid w:val="00BF6087"/>
    <w:rsid w:val="00BF62B9"/>
    <w:rsid w:val="00BF6360"/>
    <w:rsid w:val="00BF65F9"/>
    <w:rsid w:val="00BF6BFD"/>
    <w:rsid w:val="00BF6D71"/>
    <w:rsid w:val="00BF7222"/>
    <w:rsid w:val="00BF72A0"/>
    <w:rsid w:val="00BF7B80"/>
    <w:rsid w:val="00C00833"/>
    <w:rsid w:val="00C00BF7"/>
    <w:rsid w:val="00C00C22"/>
    <w:rsid w:val="00C0160D"/>
    <w:rsid w:val="00C02D14"/>
    <w:rsid w:val="00C0361F"/>
    <w:rsid w:val="00C04E41"/>
    <w:rsid w:val="00C0504F"/>
    <w:rsid w:val="00C05F57"/>
    <w:rsid w:val="00C06174"/>
    <w:rsid w:val="00C064CE"/>
    <w:rsid w:val="00C06DC2"/>
    <w:rsid w:val="00C07018"/>
    <w:rsid w:val="00C07583"/>
    <w:rsid w:val="00C10BC5"/>
    <w:rsid w:val="00C10F69"/>
    <w:rsid w:val="00C11162"/>
    <w:rsid w:val="00C1136B"/>
    <w:rsid w:val="00C11807"/>
    <w:rsid w:val="00C11AC4"/>
    <w:rsid w:val="00C126DA"/>
    <w:rsid w:val="00C13268"/>
    <w:rsid w:val="00C13642"/>
    <w:rsid w:val="00C13BC3"/>
    <w:rsid w:val="00C14513"/>
    <w:rsid w:val="00C15C24"/>
    <w:rsid w:val="00C16640"/>
    <w:rsid w:val="00C2165D"/>
    <w:rsid w:val="00C21B7C"/>
    <w:rsid w:val="00C224F6"/>
    <w:rsid w:val="00C2269C"/>
    <w:rsid w:val="00C23059"/>
    <w:rsid w:val="00C2353F"/>
    <w:rsid w:val="00C241E9"/>
    <w:rsid w:val="00C246D7"/>
    <w:rsid w:val="00C24CB9"/>
    <w:rsid w:val="00C2529B"/>
    <w:rsid w:val="00C2529D"/>
    <w:rsid w:val="00C25A63"/>
    <w:rsid w:val="00C2644C"/>
    <w:rsid w:val="00C26629"/>
    <w:rsid w:val="00C26A3B"/>
    <w:rsid w:val="00C26CD5"/>
    <w:rsid w:val="00C26D96"/>
    <w:rsid w:val="00C26FFA"/>
    <w:rsid w:val="00C27026"/>
    <w:rsid w:val="00C308E3"/>
    <w:rsid w:val="00C30D8E"/>
    <w:rsid w:val="00C3128B"/>
    <w:rsid w:val="00C31317"/>
    <w:rsid w:val="00C32A39"/>
    <w:rsid w:val="00C33BC4"/>
    <w:rsid w:val="00C342D1"/>
    <w:rsid w:val="00C35312"/>
    <w:rsid w:val="00C35B68"/>
    <w:rsid w:val="00C35C5C"/>
    <w:rsid w:val="00C40870"/>
    <w:rsid w:val="00C40D5B"/>
    <w:rsid w:val="00C41836"/>
    <w:rsid w:val="00C41D74"/>
    <w:rsid w:val="00C41EE6"/>
    <w:rsid w:val="00C420CC"/>
    <w:rsid w:val="00C42B99"/>
    <w:rsid w:val="00C43042"/>
    <w:rsid w:val="00C43570"/>
    <w:rsid w:val="00C442B5"/>
    <w:rsid w:val="00C44A0A"/>
    <w:rsid w:val="00C45E08"/>
    <w:rsid w:val="00C46014"/>
    <w:rsid w:val="00C47CE3"/>
    <w:rsid w:val="00C50861"/>
    <w:rsid w:val="00C51CD1"/>
    <w:rsid w:val="00C521A6"/>
    <w:rsid w:val="00C52272"/>
    <w:rsid w:val="00C52639"/>
    <w:rsid w:val="00C52B51"/>
    <w:rsid w:val="00C537B3"/>
    <w:rsid w:val="00C54023"/>
    <w:rsid w:val="00C545E6"/>
    <w:rsid w:val="00C54F1F"/>
    <w:rsid w:val="00C5549A"/>
    <w:rsid w:val="00C55802"/>
    <w:rsid w:val="00C56A8C"/>
    <w:rsid w:val="00C57C55"/>
    <w:rsid w:val="00C57F9F"/>
    <w:rsid w:val="00C6081D"/>
    <w:rsid w:val="00C622CB"/>
    <w:rsid w:val="00C62E86"/>
    <w:rsid w:val="00C63638"/>
    <w:rsid w:val="00C63E01"/>
    <w:rsid w:val="00C64375"/>
    <w:rsid w:val="00C645E2"/>
    <w:rsid w:val="00C64E2A"/>
    <w:rsid w:val="00C64E79"/>
    <w:rsid w:val="00C64EE5"/>
    <w:rsid w:val="00C662AC"/>
    <w:rsid w:val="00C66391"/>
    <w:rsid w:val="00C663F8"/>
    <w:rsid w:val="00C665CF"/>
    <w:rsid w:val="00C66A1A"/>
    <w:rsid w:val="00C66DB1"/>
    <w:rsid w:val="00C6741E"/>
    <w:rsid w:val="00C6751A"/>
    <w:rsid w:val="00C67733"/>
    <w:rsid w:val="00C7016B"/>
    <w:rsid w:val="00C71E07"/>
    <w:rsid w:val="00C72125"/>
    <w:rsid w:val="00C72683"/>
    <w:rsid w:val="00C73714"/>
    <w:rsid w:val="00C73738"/>
    <w:rsid w:val="00C745D8"/>
    <w:rsid w:val="00C74A7A"/>
    <w:rsid w:val="00C75199"/>
    <w:rsid w:val="00C753BC"/>
    <w:rsid w:val="00C75834"/>
    <w:rsid w:val="00C76007"/>
    <w:rsid w:val="00C760F9"/>
    <w:rsid w:val="00C7639B"/>
    <w:rsid w:val="00C768BE"/>
    <w:rsid w:val="00C7699A"/>
    <w:rsid w:val="00C7716E"/>
    <w:rsid w:val="00C7721B"/>
    <w:rsid w:val="00C7781A"/>
    <w:rsid w:val="00C80735"/>
    <w:rsid w:val="00C81023"/>
    <w:rsid w:val="00C819C4"/>
    <w:rsid w:val="00C82C14"/>
    <w:rsid w:val="00C830D3"/>
    <w:rsid w:val="00C83A6A"/>
    <w:rsid w:val="00C83B8D"/>
    <w:rsid w:val="00C84343"/>
    <w:rsid w:val="00C843F8"/>
    <w:rsid w:val="00C8445F"/>
    <w:rsid w:val="00C84898"/>
    <w:rsid w:val="00C849E6"/>
    <w:rsid w:val="00C84AFC"/>
    <w:rsid w:val="00C84BEE"/>
    <w:rsid w:val="00C85FD6"/>
    <w:rsid w:val="00C86323"/>
    <w:rsid w:val="00C91BD9"/>
    <w:rsid w:val="00C91D6C"/>
    <w:rsid w:val="00C91EAC"/>
    <w:rsid w:val="00C91FBF"/>
    <w:rsid w:val="00C93295"/>
    <w:rsid w:val="00C934F8"/>
    <w:rsid w:val="00C93F7D"/>
    <w:rsid w:val="00C94122"/>
    <w:rsid w:val="00C9436F"/>
    <w:rsid w:val="00C94959"/>
    <w:rsid w:val="00C94A70"/>
    <w:rsid w:val="00C94B31"/>
    <w:rsid w:val="00C95596"/>
    <w:rsid w:val="00C95683"/>
    <w:rsid w:val="00C957E4"/>
    <w:rsid w:val="00C95C68"/>
    <w:rsid w:val="00C95DFB"/>
    <w:rsid w:val="00C95F9F"/>
    <w:rsid w:val="00C961F9"/>
    <w:rsid w:val="00C96B1C"/>
    <w:rsid w:val="00C96DD7"/>
    <w:rsid w:val="00C96E4E"/>
    <w:rsid w:val="00C9778F"/>
    <w:rsid w:val="00C97815"/>
    <w:rsid w:val="00C97D61"/>
    <w:rsid w:val="00C97DFD"/>
    <w:rsid w:val="00CA0EB8"/>
    <w:rsid w:val="00CA1E41"/>
    <w:rsid w:val="00CA228D"/>
    <w:rsid w:val="00CA2508"/>
    <w:rsid w:val="00CA2F88"/>
    <w:rsid w:val="00CA3AD9"/>
    <w:rsid w:val="00CA3AF0"/>
    <w:rsid w:val="00CA3C19"/>
    <w:rsid w:val="00CA3E9F"/>
    <w:rsid w:val="00CA41D8"/>
    <w:rsid w:val="00CA4518"/>
    <w:rsid w:val="00CA4E49"/>
    <w:rsid w:val="00CA5D54"/>
    <w:rsid w:val="00CA5EDF"/>
    <w:rsid w:val="00CA60F5"/>
    <w:rsid w:val="00CA6F47"/>
    <w:rsid w:val="00CA7225"/>
    <w:rsid w:val="00CA7363"/>
    <w:rsid w:val="00CA76FF"/>
    <w:rsid w:val="00CA7EF8"/>
    <w:rsid w:val="00CB017C"/>
    <w:rsid w:val="00CB0474"/>
    <w:rsid w:val="00CB1087"/>
    <w:rsid w:val="00CB172E"/>
    <w:rsid w:val="00CB2AF2"/>
    <w:rsid w:val="00CB436B"/>
    <w:rsid w:val="00CB4526"/>
    <w:rsid w:val="00CB4E03"/>
    <w:rsid w:val="00CB4E22"/>
    <w:rsid w:val="00CB4F96"/>
    <w:rsid w:val="00CB5215"/>
    <w:rsid w:val="00CB591A"/>
    <w:rsid w:val="00CB5AA3"/>
    <w:rsid w:val="00CB650E"/>
    <w:rsid w:val="00CB69F0"/>
    <w:rsid w:val="00CB7402"/>
    <w:rsid w:val="00CC1130"/>
    <w:rsid w:val="00CC120E"/>
    <w:rsid w:val="00CC39E8"/>
    <w:rsid w:val="00CC3BC7"/>
    <w:rsid w:val="00CC4634"/>
    <w:rsid w:val="00CC5F94"/>
    <w:rsid w:val="00CC6872"/>
    <w:rsid w:val="00CC6F9D"/>
    <w:rsid w:val="00CC7405"/>
    <w:rsid w:val="00CC7EC1"/>
    <w:rsid w:val="00CD027E"/>
    <w:rsid w:val="00CD073F"/>
    <w:rsid w:val="00CD0F7A"/>
    <w:rsid w:val="00CD17C7"/>
    <w:rsid w:val="00CD1C35"/>
    <w:rsid w:val="00CD31C2"/>
    <w:rsid w:val="00CD3597"/>
    <w:rsid w:val="00CD3A38"/>
    <w:rsid w:val="00CD45F9"/>
    <w:rsid w:val="00CD472B"/>
    <w:rsid w:val="00CD523E"/>
    <w:rsid w:val="00CD699B"/>
    <w:rsid w:val="00CD6A53"/>
    <w:rsid w:val="00CD6C1C"/>
    <w:rsid w:val="00CD75B1"/>
    <w:rsid w:val="00CD77AF"/>
    <w:rsid w:val="00CD7E7C"/>
    <w:rsid w:val="00CE19FB"/>
    <w:rsid w:val="00CE1A09"/>
    <w:rsid w:val="00CE1FD5"/>
    <w:rsid w:val="00CE2086"/>
    <w:rsid w:val="00CE24E9"/>
    <w:rsid w:val="00CE25A9"/>
    <w:rsid w:val="00CE2E4B"/>
    <w:rsid w:val="00CE347F"/>
    <w:rsid w:val="00CE34FA"/>
    <w:rsid w:val="00CE409C"/>
    <w:rsid w:val="00CE43CF"/>
    <w:rsid w:val="00CE4710"/>
    <w:rsid w:val="00CE495E"/>
    <w:rsid w:val="00CE4B86"/>
    <w:rsid w:val="00CE5511"/>
    <w:rsid w:val="00CE5606"/>
    <w:rsid w:val="00CE5907"/>
    <w:rsid w:val="00CE5980"/>
    <w:rsid w:val="00CE7E79"/>
    <w:rsid w:val="00CF0776"/>
    <w:rsid w:val="00CF0ABB"/>
    <w:rsid w:val="00CF1F4D"/>
    <w:rsid w:val="00CF286C"/>
    <w:rsid w:val="00CF2B5D"/>
    <w:rsid w:val="00CF2BAC"/>
    <w:rsid w:val="00CF2EA8"/>
    <w:rsid w:val="00CF4615"/>
    <w:rsid w:val="00CF5B3C"/>
    <w:rsid w:val="00CF6314"/>
    <w:rsid w:val="00CF6424"/>
    <w:rsid w:val="00CF64CF"/>
    <w:rsid w:val="00CF6922"/>
    <w:rsid w:val="00CF693B"/>
    <w:rsid w:val="00CF731D"/>
    <w:rsid w:val="00CF7B1E"/>
    <w:rsid w:val="00CF7FC4"/>
    <w:rsid w:val="00D00529"/>
    <w:rsid w:val="00D00954"/>
    <w:rsid w:val="00D014B6"/>
    <w:rsid w:val="00D016E7"/>
    <w:rsid w:val="00D016F3"/>
    <w:rsid w:val="00D02FD8"/>
    <w:rsid w:val="00D03DA9"/>
    <w:rsid w:val="00D0482D"/>
    <w:rsid w:val="00D04D4A"/>
    <w:rsid w:val="00D04D8D"/>
    <w:rsid w:val="00D05CB1"/>
    <w:rsid w:val="00D066AF"/>
    <w:rsid w:val="00D06B06"/>
    <w:rsid w:val="00D07324"/>
    <w:rsid w:val="00D07B92"/>
    <w:rsid w:val="00D07D1F"/>
    <w:rsid w:val="00D100FC"/>
    <w:rsid w:val="00D10D6E"/>
    <w:rsid w:val="00D10DD1"/>
    <w:rsid w:val="00D118A5"/>
    <w:rsid w:val="00D11CCD"/>
    <w:rsid w:val="00D11FD8"/>
    <w:rsid w:val="00D14067"/>
    <w:rsid w:val="00D142DC"/>
    <w:rsid w:val="00D15498"/>
    <w:rsid w:val="00D1605D"/>
    <w:rsid w:val="00D16306"/>
    <w:rsid w:val="00D16775"/>
    <w:rsid w:val="00D16DA3"/>
    <w:rsid w:val="00D17494"/>
    <w:rsid w:val="00D175BD"/>
    <w:rsid w:val="00D20381"/>
    <w:rsid w:val="00D2054D"/>
    <w:rsid w:val="00D21550"/>
    <w:rsid w:val="00D2171A"/>
    <w:rsid w:val="00D22B60"/>
    <w:rsid w:val="00D23622"/>
    <w:rsid w:val="00D242AC"/>
    <w:rsid w:val="00D26696"/>
    <w:rsid w:val="00D26776"/>
    <w:rsid w:val="00D2683B"/>
    <w:rsid w:val="00D273EB"/>
    <w:rsid w:val="00D30793"/>
    <w:rsid w:val="00D30CB7"/>
    <w:rsid w:val="00D31005"/>
    <w:rsid w:val="00D31D27"/>
    <w:rsid w:val="00D331E9"/>
    <w:rsid w:val="00D33568"/>
    <w:rsid w:val="00D33BB6"/>
    <w:rsid w:val="00D3500E"/>
    <w:rsid w:val="00D36664"/>
    <w:rsid w:val="00D36CA8"/>
    <w:rsid w:val="00D37637"/>
    <w:rsid w:val="00D37BD9"/>
    <w:rsid w:val="00D40099"/>
    <w:rsid w:val="00D4207C"/>
    <w:rsid w:val="00D44B1D"/>
    <w:rsid w:val="00D45569"/>
    <w:rsid w:val="00D46492"/>
    <w:rsid w:val="00D47059"/>
    <w:rsid w:val="00D47CEA"/>
    <w:rsid w:val="00D50CA9"/>
    <w:rsid w:val="00D52152"/>
    <w:rsid w:val="00D52349"/>
    <w:rsid w:val="00D527E1"/>
    <w:rsid w:val="00D531C3"/>
    <w:rsid w:val="00D534C4"/>
    <w:rsid w:val="00D53715"/>
    <w:rsid w:val="00D53B15"/>
    <w:rsid w:val="00D53E80"/>
    <w:rsid w:val="00D54B53"/>
    <w:rsid w:val="00D55A89"/>
    <w:rsid w:val="00D55AED"/>
    <w:rsid w:val="00D565EB"/>
    <w:rsid w:val="00D56E33"/>
    <w:rsid w:val="00D57A94"/>
    <w:rsid w:val="00D57D25"/>
    <w:rsid w:val="00D60C6F"/>
    <w:rsid w:val="00D61093"/>
    <w:rsid w:val="00D613E5"/>
    <w:rsid w:val="00D6179C"/>
    <w:rsid w:val="00D62219"/>
    <w:rsid w:val="00D626E3"/>
    <w:rsid w:val="00D62C9C"/>
    <w:rsid w:val="00D631D4"/>
    <w:rsid w:val="00D63328"/>
    <w:rsid w:val="00D63893"/>
    <w:rsid w:val="00D6467C"/>
    <w:rsid w:val="00D6567E"/>
    <w:rsid w:val="00D66064"/>
    <w:rsid w:val="00D660BA"/>
    <w:rsid w:val="00D66175"/>
    <w:rsid w:val="00D677B8"/>
    <w:rsid w:val="00D67AD1"/>
    <w:rsid w:val="00D700B2"/>
    <w:rsid w:val="00D71A5A"/>
    <w:rsid w:val="00D7223B"/>
    <w:rsid w:val="00D7258B"/>
    <w:rsid w:val="00D72701"/>
    <w:rsid w:val="00D73213"/>
    <w:rsid w:val="00D74A4D"/>
    <w:rsid w:val="00D75060"/>
    <w:rsid w:val="00D756A9"/>
    <w:rsid w:val="00D76A59"/>
    <w:rsid w:val="00D76E4D"/>
    <w:rsid w:val="00D76FE9"/>
    <w:rsid w:val="00D77FC5"/>
    <w:rsid w:val="00D8175B"/>
    <w:rsid w:val="00D82376"/>
    <w:rsid w:val="00D83263"/>
    <w:rsid w:val="00D840BD"/>
    <w:rsid w:val="00D85364"/>
    <w:rsid w:val="00D857C3"/>
    <w:rsid w:val="00D866CC"/>
    <w:rsid w:val="00D86A70"/>
    <w:rsid w:val="00D87604"/>
    <w:rsid w:val="00D87C05"/>
    <w:rsid w:val="00D9008E"/>
    <w:rsid w:val="00D90EF3"/>
    <w:rsid w:val="00D93EF2"/>
    <w:rsid w:val="00D9401C"/>
    <w:rsid w:val="00D9524D"/>
    <w:rsid w:val="00D96616"/>
    <w:rsid w:val="00D96815"/>
    <w:rsid w:val="00D96AF0"/>
    <w:rsid w:val="00D976EC"/>
    <w:rsid w:val="00D97DF0"/>
    <w:rsid w:val="00DA0F59"/>
    <w:rsid w:val="00DA258B"/>
    <w:rsid w:val="00DA295A"/>
    <w:rsid w:val="00DA2A6A"/>
    <w:rsid w:val="00DA2B64"/>
    <w:rsid w:val="00DA4421"/>
    <w:rsid w:val="00DA5050"/>
    <w:rsid w:val="00DA5805"/>
    <w:rsid w:val="00DA591C"/>
    <w:rsid w:val="00DA6CBF"/>
    <w:rsid w:val="00DA730F"/>
    <w:rsid w:val="00DA78F0"/>
    <w:rsid w:val="00DA7A3C"/>
    <w:rsid w:val="00DA7DF4"/>
    <w:rsid w:val="00DB02C9"/>
    <w:rsid w:val="00DB10EA"/>
    <w:rsid w:val="00DB1CFC"/>
    <w:rsid w:val="00DB26EE"/>
    <w:rsid w:val="00DB282D"/>
    <w:rsid w:val="00DB2A7A"/>
    <w:rsid w:val="00DB2B94"/>
    <w:rsid w:val="00DB323F"/>
    <w:rsid w:val="00DB3772"/>
    <w:rsid w:val="00DB55AB"/>
    <w:rsid w:val="00DB71AA"/>
    <w:rsid w:val="00DB75C2"/>
    <w:rsid w:val="00DB764F"/>
    <w:rsid w:val="00DC001F"/>
    <w:rsid w:val="00DC03CE"/>
    <w:rsid w:val="00DC065C"/>
    <w:rsid w:val="00DC1325"/>
    <w:rsid w:val="00DC155A"/>
    <w:rsid w:val="00DC1990"/>
    <w:rsid w:val="00DC2F0F"/>
    <w:rsid w:val="00DC401B"/>
    <w:rsid w:val="00DC40D0"/>
    <w:rsid w:val="00DC44B4"/>
    <w:rsid w:val="00DC4590"/>
    <w:rsid w:val="00DC4692"/>
    <w:rsid w:val="00DC4D66"/>
    <w:rsid w:val="00DC59F6"/>
    <w:rsid w:val="00DC675E"/>
    <w:rsid w:val="00DC6807"/>
    <w:rsid w:val="00DC6CF1"/>
    <w:rsid w:val="00DC7185"/>
    <w:rsid w:val="00DC7391"/>
    <w:rsid w:val="00DD1A58"/>
    <w:rsid w:val="00DD350F"/>
    <w:rsid w:val="00DD3AC2"/>
    <w:rsid w:val="00DD3EA1"/>
    <w:rsid w:val="00DD446B"/>
    <w:rsid w:val="00DD5D70"/>
    <w:rsid w:val="00DD64C8"/>
    <w:rsid w:val="00DD6600"/>
    <w:rsid w:val="00DD6714"/>
    <w:rsid w:val="00DD688F"/>
    <w:rsid w:val="00DD73A1"/>
    <w:rsid w:val="00DD73A4"/>
    <w:rsid w:val="00DE12AC"/>
    <w:rsid w:val="00DE172B"/>
    <w:rsid w:val="00DE1B22"/>
    <w:rsid w:val="00DE1C75"/>
    <w:rsid w:val="00DE2F71"/>
    <w:rsid w:val="00DE340B"/>
    <w:rsid w:val="00DE43B0"/>
    <w:rsid w:val="00DE5D87"/>
    <w:rsid w:val="00DE5E34"/>
    <w:rsid w:val="00DE72B2"/>
    <w:rsid w:val="00DE7883"/>
    <w:rsid w:val="00DF00B6"/>
    <w:rsid w:val="00DF1ACD"/>
    <w:rsid w:val="00DF1B94"/>
    <w:rsid w:val="00DF1C19"/>
    <w:rsid w:val="00DF22D4"/>
    <w:rsid w:val="00DF290A"/>
    <w:rsid w:val="00DF2F35"/>
    <w:rsid w:val="00DF347E"/>
    <w:rsid w:val="00DF36CF"/>
    <w:rsid w:val="00DF3AD7"/>
    <w:rsid w:val="00DF3F90"/>
    <w:rsid w:val="00DF4246"/>
    <w:rsid w:val="00DF4D4B"/>
    <w:rsid w:val="00DF4F79"/>
    <w:rsid w:val="00DF55D5"/>
    <w:rsid w:val="00DF5954"/>
    <w:rsid w:val="00DF59FF"/>
    <w:rsid w:val="00DF61BA"/>
    <w:rsid w:val="00DF64EC"/>
    <w:rsid w:val="00DF71FB"/>
    <w:rsid w:val="00DF758F"/>
    <w:rsid w:val="00DF7CE7"/>
    <w:rsid w:val="00DF7D9A"/>
    <w:rsid w:val="00E008A2"/>
    <w:rsid w:val="00E0127C"/>
    <w:rsid w:val="00E0367C"/>
    <w:rsid w:val="00E036D4"/>
    <w:rsid w:val="00E03AB9"/>
    <w:rsid w:val="00E041BB"/>
    <w:rsid w:val="00E05E17"/>
    <w:rsid w:val="00E060D7"/>
    <w:rsid w:val="00E06A74"/>
    <w:rsid w:val="00E06C72"/>
    <w:rsid w:val="00E072DF"/>
    <w:rsid w:val="00E10CEA"/>
    <w:rsid w:val="00E10D83"/>
    <w:rsid w:val="00E10ED5"/>
    <w:rsid w:val="00E11457"/>
    <w:rsid w:val="00E126CE"/>
    <w:rsid w:val="00E13A50"/>
    <w:rsid w:val="00E13B25"/>
    <w:rsid w:val="00E15315"/>
    <w:rsid w:val="00E15484"/>
    <w:rsid w:val="00E15AFF"/>
    <w:rsid w:val="00E16771"/>
    <w:rsid w:val="00E1712D"/>
    <w:rsid w:val="00E17CBA"/>
    <w:rsid w:val="00E17E25"/>
    <w:rsid w:val="00E2143F"/>
    <w:rsid w:val="00E214F2"/>
    <w:rsid w:val="00E21B68"/>
    <w:rsid w:val="00E21D88"/>
    <w:rsid w:val="00E22063"/>
    <w:rsid w:val="00E22290"/>
    <w:rsid w:val="00E224A4"/>
    <w:rsid w:val="00E22840"/>
    <w:rsid w:val="00E23E2C"/>
    <w:rsid w:val="00E23E34"/>
    <w:rsid w:val="00E244A8"/>
    <w:rsid w:val="00E249AE"/>
    <w:rsid w:val="00E24EE6"/>
    <w:rsid w:val="00E25084"/>
    <w:rsid w:val="00E25202"/>
    <w:rsid w:val="00E256AC"/>
    <w:rsid w:val="00E2576E"/>
    <w:rsid w:val="00E25C4D"/>
    <w:rsid w:val="00E25F86"/>
    <w:rsid w:val="00E26A6B"/>
    <w:rsid w:val="00E275B0"/>
    <w:rsid w:val="00E279B8"/>
    <w:rsid w:val="00E27BC7"/>
    <w:rsid w:val="00E30753"/>
    <w:rsid w:val="00E30D83"/>
    <w:rsid w:val="00E326B9"/>
    <w:rsid w:val="00E32ED3"/>
    <w:rsid w:val="00E33F61"/>
    <w:rsid w:val="00E34841"/>
    <w:rsid w:val="00E34B20"/>
    <w:rsid w:val="00E34DB8"/>
    <w:rsid w:val="00E34E17"/>
    <w:rsid w:val="00E356D6"/>
    <w:rsid w:val="00E362DB"/>
    <w:rsid w:val="00E36588"/>
    <w:rsid w:val="00E368A9"/>
    <w:rsid w:val="00E3694C"/>
    <w:rsid w:val="00E36A11"/>
    <w:rsid w:val="00E36A83"/>
    <w:rsid w:val="00E370B9"/>
    <w:rsid w:val="00E3725A"/>
    <w:rsid w:val="00E373D8"/>
    <w:rsid w:val="00E375CD"/>
    <w:rsid w:val="00E40957"/>
    <w:rsid w:val="00E414AA"/>
    <w:rsid w:val="00E41616"/>
    <w:rsid w:val="00E41BD0"/>
    <w:rsid w:val="00E421FD"/>
    <w:rsid w:val="00E42D53"/>
    <w:rsid w:val="00E42D8E"/>
    <w:rsid w:val="00E42F3F"/>
    <w:rsid w:val="00E436CE"/>
    <w:rsid w:val="00E44279"/>
    <w:rsid w:val="00E4454F"/>
    <w:rsid w:val="00E449BF"/>
    <w:rsid w:val="00E44A92"/>
    <w:rsid w:val="00E44F4A"/>
    <w:rsid w:val="00E45D94"/>
    <w:rsid w:val="00E4685D"/>
    <w:rsid w:val="00E46FEC"/>
    <w:rsid w:val="00E47422"/>
    <w:rsid w:val="00E47AFE"/>
    <w:rsid w:val="00E50266"/>
    <w:rsid w:val="00E50539"/>
    <w:rsid w:val="00E50D8B"/>
    <w:rsid w:val="00E51AE9"/>
    <w:rsid w:val="00E51D61"/>
    <w:rsid w:val="00E54442"/>
    <w:rsid w:val="00E54559"/>
    <w:rsid w:val="00E545D9"/>
    <w:rsid w:val="00E547CB"/>
    <w:rsid w:val="00E54B64"/>
    <w:rsid w:val="00E555C2"/>
    <w:rsid w:val="00E55C49"/>
    <w:rsid w:val="00E56526"/>
    <w:rsid w:val="00E60A39"/>
    <w:rsid w:val="00E60ED3"/>
    <w:rsid w:val="00E616D3"/>
    <w:rsid w:val="00E61805"/>
    <w:rsid w:val="00E6288D"/>
    <w:rsid w:val="00E62F1D"/>
    <w:rsid w:val="00E6336D"/>
    <w:rsid w:val="00E6370A"/>
    <w:rsid w:val="00E63A45"/>
    <w:rsid w:val="00E645DE"/>
    <w:rsid w:val="00E6488E"/>
    <w:rsid w:val="00E65707"/>
    <w:rsid w:val="00E659ED"/>
    <w:rsid w:val="00E65BD8"/>
    <w:rsid w:val="00E662A3"/>
    <w:rsid w:val="00E66729"/>
    <w:rsid w:val="00E6705F"/>
    <w:rsid w:val="00E670BC"/>
    <w:rsid w:val="00E704EB"/>
    <w:rsid w:val="00E7070C"/>
    <w:rsid w:val="00E711A7"/>
    <w:rsid w:val="00E7263C"/>
    <w:rsid w:val="00E72902"/>
    <w:rsid w:val="00E73E72"/>
    <w:rsid w:val="00E74C53"/>
    <w:rsid w:val="00E75406"/>
    <w:rsid w:val="00E76307"/>
    <w:rsid w:val="00E77DF6"/>
    <w:rsid w:val="00E80173"/>
    <w:rsid w:val="00E80942"/>
    <w:rsid w:val="00E80CEB"/>
    <w:rsid w:val="00E8123B"/>
    <w:rsid w:val="00E816B7"/>
    <w:rsid w:val="00E816C8"/>
    <w:rsid w:val="00E81C66"/>
    <w:rsid w:val="00E83C6A"/>
    <w:rsid w:val="00E85402"/>
    <w:rsid w:val="00E854D9"/>
    <w:rsid w:val="00E864F1"/>
    <w:rsid w:val="00E8749A"/>
    <w:rsid w:val="00E87C1B"/>
    <w:rsid w:val="00E90970"/>
    <w:rsid w:val="00E910F6"/>
    <w:rsid w:val="00E914EB"/>
    <w:rsid w:val="00E91662"/>
    <w:rsid w:val="00E91794"/>
    <w:rsid w:val="00E917D3"/>
    <w:rsid w:val="00E91A44"/>
    <w:rsid w:val="00E92C9A"/>
    <w:rsid w:val="00E93769"/>
    <w:rsid w:val="00E94329"/>
    <w:rsid w:val="00E94DE4"/>
    <w:rsid w:val="00E95604"/>
    <w:rsid w:val="00E959DC"/>
    <w:rsid w:val="00E96ECD"/>
    <w:rsid w:val="00E97585"/>
    <w:rsid w:val="00EA007F"/>
    <w:rsid w:val="00EA0C39"/>
    <w:rsid w:val="00EA0E40"/>
    <w:rsid w:val="00EA0E48"/>
    <w:rsid w:val="00EA12E2"/>
    <w:rsid w:val="00EA132B"/>
    <w:rsid w:val="00EA1F19"/>
    <w:rsid w:val="00EA3E19"/>
    <w:rsid w:val="00EA591D"/>
    <w:rsid w:val="00EA60A8"/>
    <w:rsid w:val="00EA670F"/>
    <w:rsid w:val="00EA7A8F"/>
    <w:rsid w:val="00EB0301"/>
    <w:rsid w:val="00EB0F15"/>
    <w:rsid w:val="00EB1EA5"/>
    <w:rsid w:val="00EB2924"/>
    <w:rsid w:val="00EB3044"/>
    <w:rsid w:val="00EB3ED6"/>
    <w:rsid w:val="00EB4113"/>
    <w:rsid w:val="00EB63DB"/>
    <w:rsid w:val="00EB6EB1"/>
    <w:rsid w:val="00EB6FCB"/>
    <w:rsid w:val="00EB714E"/>
    <w:rsid w:val="00EB7F08"/>
    <w:rsid w:val="00EC0B17"/>
    <w:rsid w:val="00EC0F60"/>
    <w:rsid w:val="00EC1386"/>
    <w:rsid w:val="00EC142E"/>
    <w:rsid w:val="00EC16E1"/>
    <w:rsid w:val="00EC196C"/>
    <w:rsid w:val="00EC1F2B"/>
    <w:rsid w:val="00EC258C"/>
    <w:rsid w:val="00EC2CD8"/>
    <w:rsid w:val="00EC2F4A"/>
    <w:rsid w:val="00EC343D"/>
    <w:rsid w:val="00EC382C"/>
    <w:rsid w:val="00EC3875"/>
    <w:rsid w:val="00EC3904"/>
    <w:rsid w:val="00EC39CF"/>
    <w:rsid w:val="00EC4214"/>
    <w:rsid w:val="00EC49E7"/>
    <w:rsid w:val="00EC6255"/>
    <w:rsid w:val="00EC68EE"/>
    <w:rsid w:val="00EC710D"/>
    <w:rsid w:val="00EC7527"/>
    <w:rsid w:val="00EC773D"/>
    <w:rsid w:val="00ED035B"/>
    <w:rsid w:val="00ED06AD"/>
    <w:rsid w:val="00ED06F1"/>
    <w:rsid w:val="00ED0CF3"/>
    <w:rsid w:val="00ED1524"/>
    <w:rsid w:val="00ED1E00"/>
    <w:rsid w:val="00ED25F6"/>
    <w:rsid w:val="00ED36F2"/>
    <w:rsid w:val="00ED4AB9"/>
    <w:rsid w:val="00ED56CE"/>
    <w:rsid w:val="00ED5D6C"/>
    <w:rsid w:val="00ED5EDB"/>
    <w:rsid w:val="00ED7528"/>
    <w:rsid w:val="00ED7AA2"/>
    <w:rsid w:val="00ED7AEC"/>
    <w:rsid w:val="00EE00CC"/>
    <w:rsid w:val="00EE04B4"/>
    <w:rsid w:val="00EE05FE"/>
    <w:rsid w:val="00EE0D14"/>
    <w:rsid w:val="00EE253A"/>
    <w:rsid w:val="00EE32BC"/>
    <w:rsid w:val="00EE41CD"/>
    <w:rsid w:val="00EE48AE"/>
    <w:rsid w:val="00EE4A82"/>
    <w:rsid w:val="00EE5175"/>
    <w:rsid w:val="00EE56EF"/>
    <w:rsid w:val="00EE59A5"/>
    <w:rsid w:val="00EE7D2D"/>
    <w:rsid w:val="00EF035B"/>
    <w:rsid w:val="00EF03CD"/>
    <w:rsid w:val="00EF0FA6"/>
    <w:rsid w:val="00EF1134"/>
    <w:rsid w:val="00EF242A"/>
    <w:rsid w:val="00EF2D8B"/>
    <w:rsid w:val="00EF31DD"/>
    <w:rsid w:val="00EF3AC5"/>
    <w:rsid w:val="00EF4019"/>
    <w:rsid w:val="00EF64FD"/>
    <w:rsid w:val="00EF6E71"/>
    <w:rsid w:val="00EF75EE"/>
    <w:rsid w:val="00EF778C"/>
    <w:rsid w:val="00EF7BF4"/>
    <w:rsid w:val="00EF7FBA"/>
    <w:rsid w:val="00F00B6A"/>
    <w:rsid w:val="00F0147C"/>
    <w:rsid w:val="00F01E00"/>
    <w:rsid w:val="00F03355"/>
    <w:rsid w:val="00F03C1E"/>
    <w:rsid w:val="00F03D92"/>
    <w:rsid w:val="00F04402"/>
    <w:rsid w:val="00F05A18"/>
    <w:rsid w:val="00F0772C"/>
    <w:rsid w:val="00F07D7A"/>
    <w:rsid w:val="00F101FC"/>
    <w:rsid w:val="00F10362"/>
    <w:rsid w:val="00F11774"/>
    <w:rsid w:val="00F118E6"/>
    <w:rsid w:val="00F1191B"/>
    <w:rsid w:val="00F11FA6"/>
    <w:rsid w:val="00F122C3"/>
    <w:rsid w:val="00F12854"/>
    <w:rsid w:val="00F138B4"/>
    <w:rsid w:val="00F1399E"/>
    <w:rsid w:val="00F13BDE"/>
    <w:rsid w:val="00F14AE5"/>
    <w:rsid w:val="00F15575"/>
    <w:rsid w:val="00F16658"/>
    <w:rsid w:val="00F20B36"/>
    <w:rsid w:val="00F20D81"/>
    <w:rsid w:val="00F215E6"/>
    <w:rsid w:val="00F22DA3"/>
    <w:rsid w:val="00F23ACD"/>
    <w:rsid w:val="00F254E0"/>
    <w:rsid w:val="00F25BCE"/>
    <w:rsid w:val="00F26A43"/>
    <w:rsid w:val="00F273D8"/>
    <w:rsid w:val="00F27B32"/>
    <w:rsid w:val="00F27EBA"/>
    <w:rsid w:val="00F3212A"/>
    <w:rsid w:val="00F351D7"/>
    <w:rsid w:val="00F365F0"/>
    <w:rsid w:val="00F366CC"/>
    <w:rsid w:val="00F367A3"/>
    <w:rsid w:val="00F368B4"/>
    <w:rsid w:val="00F375E2"/>
    <w:rsid w:val="00F3779D"/>
    <w:rsid w:val="00F37DE4"/>
    <w:rsid w:val="00F37E21"/>
    <w:rsid w:val="00F4151A"/>
    <w:rsid w:val="00F42E5E"/>
    <w:rsid w:val="00F44B07"/>
    <w:rsid w:val="00F44C56"/>
    <w:rsid w:val="00F44FA9"/>
    <w:rsid w:val="00F45058"/>
    <w:rsid w:val="00F45BCF"/>
    <w:rsid w:val="00F46972"/>
    <w:rsid w:val="00F47AA2"/>
    <w:rsid w:val="00F5048C"/>
    <w:rsid w:val="00F5082C"/>
    <w:rsid w:val="00F51793"/>
    <w:rsid w:val="00F52868"/>
    <w:rsid w:val="00F53253"/>
    <w:rsid w:val="00F53B6E"/>
    <w:rsid w:val="00F54827"/>
    <w:rsid w:val="00F54AFF"/>
    <w:rsid w:val="00F550B2"/>
    <w:rsid w:val="00F55895"/>
    <w:rsid w:val="00F56843"/>
    <w:rsid w:val="00F56CB6"/>
    <w:rsid w:val="00F57441"/>
    <w:rsid w:val="00F57444"/>
    <w:rsid w:val="00F57783"/>
    <w:rsid w:val="00F60EBC"/>
    <w:rsid w:val="00F61415"/>
    <w:rsid w:val="00F61DEA"/>
    <w:rsid w:val="00F625AC"/>
    <w:rsid w:val="00F6300C"/>
    <w:rsid w:val="00F6343F"/>
    <w:rsid w:val="00F634F7"/>
    <w:rsid w:val="00F64515"/>
    <w:rsid w:val="00F64863"/>
    <w:rsid w:val="00F64A22"/>
    <w:rsid w:val="00F65D39"/>
    <w:rsid w:val="00F66CEA"/>
    <w:rsid w:val="00F706A6"/>
    <w:rsid w:val="00F72BA2"/>
    <w:rsid w:val="00F733F5"/>
    <w:rsid w:val="00F74227"/>
    <w:rsid w:val="00F760F2"/>
    <w:rsid w:val="00F76683"/>
    <w:rsid w:val="00F77772"/>
    <w:rsid w:val="00F77849"/>
    <w:rsid w:val="00F80856"/>
    <w:rsid w:val="00F81342"/>
    <w:rsid w:val="00F813C3"/>
    <w:rsid w:val="00F81AD9"/>
    <w:rsid w:val="00F81E30"/>
    <w:rsid w:val="00F82503"/>
    <w:rsid w:val="00F82B4C"/>
    <w:rsid w:val="00F82F52"/>
    <w:rsid w:val="00F8381D"/>
    <w:rsid w:val="00F83B98"/>
    <w:rsid w:val="00F8559A"/>
    <w:rsid w:val="00F85685"/>
    <w:rsid w:val="00F86BE4"/>
    <w:rsid w:val="00F872E2"/>
    <w:rsid w:val="00F8732D"/>
    <w:rsid w:val="00F87712"/>
    <w:rsid w:val="00F87CFF"/>
    <w:rsid w:val="00F87FC5"/>
    <w:rsid w:val="00F90959"/>
    <w:rsid w:val="00F90D17"/>
    <w:rsid w:val="00F91828"/>
    <w:rsid w:val="00F935CF"/>
    <w:rsid w:val="00F93B8A"/>
    <w:rsid w:val="00F94919"/>
    <w:rsid w:val="00F9541F"/>
    <w:rsid w:val="00F95CBC"/>
    <w:rsid w:val="00F961F0"/>
    <w:rsid w:val="00F96385"/>
    <w:rsid w:val="00F96507"/>
    <w:rsid w:val="00F97CBE"/>
    <w:rsid w:val="00F97ED1"/>
    <w:rsid w:val="00FA05E7"/>
    <w:rsid w:val="00FA1034"/>
    <w:rsid w:val="00FA1700"/>
    <w:rsid w:val="00FA1E51"/>
    <w:rsid w:val="00FA29BA"/>
    <w:rsid w:val="00FA2B66"/>
    <w:rsid w:val="00FA33E1"/>
    <w:rsid w:val="00FA3BB4"/>
    <w:rsid w:val="00FA5D62"/>
    <w:rsid w:val="00FA6FB0"/>
    <w:rsid w:val="00FB00BE"/>
    <w:rsid w:val="00FB03B8"/>
    <w:rsid w:val="00FB0ADE"/>
    <w:rsid w:val="00FB1C75"/>
    <w:rsid w:val="00FB2080"/>
    <w:rsid w:val="00FB3851"/>
    <w:rsid w:val="00FB450C"/>
    <w:rsid w:val="00FB4A91"/>
    <w:rsid w:val="00FB4E77"/>
    <w:rsid w:val="00FB4F24"/>
    <w:rsid w:val="00FB5000"/>
    <w:rsid w:val="00FB50D4"/>
    <w:rsid w:val="00FB526C"/>
    <w:rsid w:val="00FB5451"/>
    <w:rsid w:val="00FB6AF7"/>
    <w:rsid w:val="00FB6CDD"/>
    <w:rsid w:val="00FB6FB9"/>
    <w:rsid w:val="00FB7076"/>
    <w:rsid w:val="00FB79A6"/>
    <w:rsid w:val="00FB7C72"/>
    <w:rsid w:val="00FC002F"/>
    <w:rsid w:val="00FC06FE"/>
    <w:rsid w:val="00FC16A5"/>
    <w:rsid w:val="00FC2767"/>
    <w:rsid w:val="00FC3376"/>
    <w:rsid w:val="00FC55C4"/>
    <w:rsid w:val="00FC5652"/>
    <w:rsid w:val="00FC5773"/>
    <w:rsid w:val="00FC5D72"/>
    <w:rsid w:val="00FC6971"/>
    <w:rsid w:val="00FC6D11"/>
    <w:rsid w:val="00FC6FB4"/>
    <w:rsid w:val="00FC751F"/>
    <w:rsid w:val="00FC7645"/>
    <w:rsid w:val="00FC774C"/>
    <w:rsid w:val="00FC7775"/>
    <w:rsid w:val="00FC7824"/>
    <w:rsid w:val="00FC7D88"/>
    <w:rsid w:val="00FD05A5"/>
    <w:rsid w:val="00FD0775"/>
    <w:rsid w:val="00FD1222"/>
    <w:rsid w:val="00FD1246"/>
    <w:rsid w:val="00FD13CB"/>
    <w:rsid w:val="00FD1917"/>
    <w:rsid w:val="00FD1977"/>
    <w:rsid w:val="00FD26A9"/>
    <w:rsid w:val="00FD4285"/>
    <w:rsid w:val="00FD63A4"/>
    <w:rsid w:val="00FD6511"/>
    <w:rsid w:val="00FD6A1C"/>
    <w:rsid w:val="00FD6B0F"/>
    <w:rsid w:val="00FD77C0"/>
    <w:rsid w:val="00FE0023"/>
    <w:rsid w:val="00FE0283"/>
    <w:rsid w:val="00FE0589"/>
    <w:rsid w:val="00FE1B18"/>
    <w:rsid w:val="00FE2140"/>
    <w:rsid w:val="00FE2400"/>
    <w:rsid w:val="00FE2B51"/>
    <w:rsid w:val="00FE2DF1"/>
    <w:rsid w:val="00FE31B0"/>
    <w:rsid w:val="00FE3DC6"/>
    <w:rsid w:val="00FE44E8"/>
    <w:rsid w:val="00FE4E1A"/>
    <w:rsid w:val="00FE5B1A"/>
    <w:rsid w:val="00FE731A"/>
    <w:rsid w:val="00FF15D0"/>
    <w:rsid w:val="00FF2533"/>
    <w:rsid w:val="00FF2A07"/>
    <w:rsid w:val="00FF38A0"/>
    <w:rsid w:val="00FF4195"/>
    <w:rsid w:val="00FF46A5"/>
    <w:rsid w:val="00FF5373"/>
    <w:rsid w:val="00FF541C"/>
    <w:rsid w:val="00FF541D"/>
    <w:rsid w:val="00FF571E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F6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EA"/>
    <w:pPr>
      <w:spacing w:line="360" w:lineRule="auto"/>
      <w:ind w:firstLine="567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73EEA"/>
    <w:pPr>
      <w:keepNext/>
      <w:keepLines/>
      <w:outlineLvl w:val="0"/>
    </w:pPr>
    <w:rPr>
      <w:rFonts w:eastAsiaTheme="majorEastAsia" w:cstheme="majorBidi"/>
      <w:b/>
      <w:bCs/>
      <w:color w:val="1F497D" w:themeColor="text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550B2"/>
    <w:pPr>
      <w:keepNext/>
      <w:keepLines/>
      <w:spacing w:before="20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Título 3 Numerado"/>
    <w:basedOn w:val="Normal"/>
    <w:next w:val="Normal"/>
    <w:link w:val="Ttulo3Char"/>
    <w:uiPriority w:val="9"/>
    <w:unhideWhenUsed/>
    <w:qFormat/>
    <w:rsid w:val="008E4C9B"/>
    <w:pPr>
      <w:keepNext/>
      <w:keepLines/>
      <w:numPr>
        <w:numId w:val="17"/>
      </w:numPr>
      <w:jc w:val="center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EEA"/>
    <w:rPr>
      <w:rFonts w:ascii="Times New Roman" w:eastAsiaTheme="majorEastAsia" w:hAnsi="Times New Roman" w:cstheme="majorBidi"/>
      <w:b/>
      <w:bCs/>
      <w:color w:val="1F497D" w:themeColor="text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550B2"/>
    <w:rPr>
      <w:rFonts w:ascii="Times New Roman" w:eastAsiaTheme="majorEastAsia" w:hAnsi="Times New Roman" w:cstheme="majorBidi"/>
      <w:b/>
      <w:bCs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57E4C"/>
    <w:pPr>
      <w:spacing w:line="240" w:lineRule="auto"/>
    </w:pPr>
    <w:rPr>
      <w:rFonts w:ascii="Lucida Grande" w:hAnsi="Lucida Grand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57E4C"/>
    <w:rPr>
      <w:rFonts w:ascii="Lucida Grande" w:hAnsi="Lucida Grand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7E4C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7E4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657E4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57E4C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7F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E67F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Subttulos">
    <w:name w:val="Subtítulos"/>
    <w:basedOn w:val="Ttulo3"/>
    <w:next w:val="Ttulo3"/>
    <w:autoRedefine/>
    <w:qFormat/>
    <w:rsid w:val="008E4C9B"/>
    <w:pPr>
      <w:numPr>
        <w:ilvl w:val="2"/>
        <w:numId w:val="14"/>
      </w:numPr>
    </w:pPr>
    <w:rPr>
      <w:bCs w:val="0"/>
      <w:iCs/>
    </w:rPr>
  </w:style>
  <w:style w:type="character" w:customStyle="1" w:styleId="Ttulo3Char">
    <w:name w:val="Título 3 Char"/>
    <w:aliases w:val="Título 3 Numerado Char"/>
    <w:basedOn w:val="Fontepargpadro"/>
    <w:link w:val="Ttulo3"/>
    <w:uiPriority w:val="9"/>
    <w:rsid w:val="008E4C9B"/>
    <w:rPr>
      <w:rFonts w:ascii="Times New Roman" w:eastAsiaTheme="majorEastAsia" w:hAnsi="Times New Roman" w:cstheme="majorBidi"/>
      <w:b/>
      <w:bCs/>
    </w:rPr>
  </w:style>
  <w:style w:type="numbering" w:customStyle="1" w:styleId="CurrentList1">
    <w:name w:val="Current List1"/>
    <w:uiPriority w:val="99"/>
    <w:rsid w:val="008E4C9B"/>
    <w:pPr>
      <w:numPr>
        <w:numId w:val="11"/>
      </w:numPr>
    </w:pPr>
  </w:style>
  <w:style w:type="numbering" w:styleId="111111">
    <w:name w:val="Outline List 2"/>
    <w:basedOn w:val="Semlista"/>
    <w:uiPriority w:val="99"/>
    <w:semiHidden/>
    <w:unhideWhenUsed/>
    <w:rsid w:val="008E4C9B"/>
    <w:pPr>
      <w:numPr>
        <w:numId w:val="13"/>
      </w:numPr>
    </w:pPr>
  </w:style>
  <w:style w:type="paragraph" w:styleId="Rodap">
    <w:name w:val="footer"/>
    <w:basedOn w:val="Normal"/>
    <w:link w:val="RodapChar"/>
    <w:uiPriority w:val="99"/>
    <w:unhideWhenUsed/>
    <w:rsid w:val="00DC155A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55A"/>
    <w:rPr>
      <w:rFonts w:ascii="Times New Roman" w:hAnsi="Times New Roman"/>
    </w:rPr>
  </w:style>
  <w:style w:type="character" w:styleId="Nmerodepgina">
    <w:name w:val="page number"/>
    <w:basedOn w:val="Fontepargpadro"/>
    <w:uiPriority w:val="99"/>
    <w:semiHidden/>
    <w:unhideWhenUsed/>
    <w:rsid w:val="00DC155A"/>
  </w:style>
  <w:style w:type="paragraph" w:styleId="Cabealho">
    <w:name w:val="header"/>
    <w:basedOn w:val="Normal"/>
    <w:link w:val="CabealhoChar"/>
    <w:uiPriority w:val="99"/>
    <w:unhideWhenUsed/>
    <w:rsid w:val="00DC155A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55A"/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BA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BA8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309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098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098"/>
    <w:rPr>
      <w:rFonts w:ascii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098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098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EA"/>
    <w:pPr>
      <w:spacing w:line="360" w:lineRule="auto"/>
      <w:ind w:firstLine="567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73EEA"/>
    <w:pPr>
      <w:keepNext/>
      <w:keepLines/>
      <w:outlineLvl w:val="0"/>
    </w:pPr>
    <w:rPr>
      <w:rFonts w:eastAsiaTheme="majorEastAsia" w:cstheme="majorBidi"/>
      <w:b/>
      <w:bCs/>
      <w:color w:val="1F497D" w:themeColor="text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550B2"/>
    <w:pPr>
      <w:keepNext/>
      <w:keepLines/>
      <w:spacing w:before="20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Título 3 Numerado"/>
    <w:basedOn w:val="Normal"/>
    <w:next w:val="Normal"/>
    <w:link w:val="Ttulo3Char"/>
    <w:uiPriority w:val="9"/>
    <w:unhideWhenUsed/>
    <w:qFormat/>
    <w:rsid w:val="008E4C9B"/>
    <w:pPr>
      <w:keepNext/>
      <w:keepLines/>
      <w:numPr>
        <w:numId w:val="17"/>
      </w:numPr>
      <w:jc w:val="center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EEA"/>
    <w:rPr>
      <w:rFonts w:ascii="Times New Roman" w:eastAsiaTheme="majorEastAsia" w:hAnsi="Times New Roman" w:cstheme="majorBidi"/>
      <w:b/>
      <w:bCs/>
      <w:color w:val="1F497D" w:themeColor="text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550B2"/>
    <w:rPr>
      <w:rFonts w:ascii="Times New Roman" w:eastAsiaTheme="majorEastAsia" w:hAnsi="Times New Roman" w:cstheme="majorBidi"/>
      <w:b/>
      <w:bCs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57E4C"/>
    <w:pPr>
      <w:spacing w:line="240" w:lineRule="auto"/>
    </w:pPr>
    <w:rPr>
      <w:rFonts w:ascii="Lucida Grande" w:hAnsi="Lucida Grand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57E4C"/>
    <w:rPr>
      <w:rFonts w:ascii="Lucida Grande" w:hAnsi="Lucida Grand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7E4C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7E4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657E4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57E4C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7F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E67F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Subttulos">
    <w:name w:val="Subtítulos"/>
    <w:basedOn w:val="Ttulo3"/>
    <w:next w:val="Ttulo3"/>
    <w:autoRedefine/>
    <w:qFormat/>
    <w:rsid w:val="008E4C9B"/>
    <w:pPr>
      <w:numPr>
        <w:ilvl w:val="2"/>
        <w:numId w:val="14"/>
      </w:numPr>
    </w:pPr>
    <w:rPr>
      <w:bCs w:val="0"/>
      <w:iCs/>
    </w:rPr>
  </w:style>
  <w:style w:type="character" w:customStyle="1" w:styleId="Ttulo3Char">
    <w:name w:val="Título 3 Char"/>
    <w:aliases w:val="Título 3 Numerado Char"/>
    <w:basedOn w:val="Fontepargpadro"/>
    <w:link w:val="Ttulo3"/>
    <w:uiPriority w:val="9"/>
    <w:rsid w:val="008E4C9B"/>
    <w:rPr>
      <w:rFonts w:ascii="Times New Roman" w:eastAsiaTheme="majorEastAsia" w:hAnsi="Times New Roman" w:cstheme="majorBidi"/>
      <w:b/>
      <w:bCs/>
    </w:rPr>
  </w:style>
  <w:style w:type="numbering" w:customStyle="1" w:styleId="CurrentList1">
    <w:name w:val="Current List1"/>
    <w:uiPriority w:val="99"/>
    <w:rsid w:val="008E4C9B"/>
    <w:pPr>
      <w:numPr>
        <w:numId w:val="11"/>
      </w:numPr>
    </w:pPr>
  </w:style>
  <w:style w:type="numbering" w:styleId="111111">
    <w:name w:val="Outline List 2"/>
    <w:basedOn w:val="Semlista"/>
    <w:uiPriority w:val="99"/>
    <w:semiHidden/>
    <w:unhideWhenUsed/>
    <w:rsid w:val="008E4C9B"/>
    <w:pPr>
      <w:numPr>
        <w:numId w:val="13"/>
      </w:numPr>
    </w:pPr>
  </w:style>
  <w:style w:type="paragraph" w:styleId="Rodap">
    <w:name w:val="footer"/>
    <w:basedOn w:val="Normal"/>
    <w:link w:val="RodapChar"/>
    <w:uiPriority w:val="99"/>
    <w:unhideWhenUsed/>
    <w:rsid w:val="00DC155A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55A"/>
    <w:rPr>
      <w:rFonts w:ascii="Times New Roman" w:hAnsi="Times New Roman"/>
    </w:rPr>
  </w:style>
  <w:style w:type="character" w:styleId="Nmerodepgina">
    <w:name w:val="page number"/>
    <w:basedOn w:val="Fontepargpadro"/>
    <w:uiPriority w:val="99"/>
    <w:semiHidden/>
    <w:unhideWhenUsed/>
    <w:rsid w:val="00DC155A"/>
  </w:style>
  <w:style w:type="paragraph" w:styleId="Cabealho">
    <w:name w:val="header"/>
    <w:basedOn w:val="Normal"/>
    <w:link w:val="CabealhoChar"/>
    <w:uiPriority w:val="99"/>
    <w:unhideWhenUsed/>
    <w:rsid w:val="00DC155A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55A"/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BA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BA8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309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098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098"/>
    <w:rPr>
      <w:rFonts w:ascii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098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09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etrobras.com.br/pt/nossas-atividades/tecnologia-e-inovaca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stats.oecd.org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odrigo:Documents:Artigo%20Capacita&#231;&#245;es%20Tecnol&#243;gicas%202017:Dados%20Capacita&#231;&#245;es%20Tecnol&#243;gicas%20R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odrigo:Documents:Artigo%20Capacita&#231;&#245;es%20Tecnol&#243;gicas%202017:Dados%20Capacita&#231;&#245;es%20Tecnol&#243;gicas%20R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odrigo:Google%20Drive:Artigos%202017:Drope%20Investimento%20Tecnol&#243;gico:Drope%20Capacita&#231;&#245;es%20Tecnol&#243;gicas%20RS_ver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odrigo:Documents:Artigos%202017:Artigo%20Capacita&#231;&#245;es%20Tecnol&#243;gicas%202017:Dados%20Capacita&#231;&#245;es%20Tecnol&#243;gicas%20R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en-US" sz="800" baseline="0"/>
              <a:t>Atividades inovativas</a:t>
            </a:r>
            <a:r>
              <a:rPr lang="en-US" sz="800"/>
              <a:t> (%)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2999824481220401"/>
          <c:y val="8.2433757807505503E-2"/>
          <c:w val="0.86558771855129202"/>
          <c:h val="0.63580804290537796"/>
        </c:manualLayout>
      </c:layout>
      <c:lineChart>
        <c:grouping val="standard"/>
        <c:varyColors val="0"/>
        <c:ser>
          <c:idx val="0"/>
          <c:order val="0"/>
          <c:tx>
            <c:strRef>
              <c:f>'Dados Gerais'!$BR$209</c:f>
              <c:strCache>
                <c:ptCount val="1"/>
                <c:pt idx="0">
                  <c:v>         Brasil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'Dados Gerais'!$BS$206:$BV$206</c:f>
              <c:numCache>
                <c:formatCode>General</c:formatCode>
                <c:ptCount val="4"/>
                <c:pt idx="0">
                  <c:v>2005</c:v>
                </c:pt>
                <c:pt idx="1">
                  <c:v>2008</c:v>
                </c:pt>
                <c:pt idx="2">
                  <c:v>2011</c:v>
                </c:pt>
                <c:pt idx="3">
                  <c:v>2014</c:v>
                </c:pt>
              </c:numCache>
            </c:numRef>
          </c:cat>
          <c:val>
            <c:numRef>
              <c:f>'Dados Gerais'!$BS$209:$BV$209</c:f>
              <c:numCache>
                <c:formatCode>0.00</c:formatCode>
                <c:ptCount val="4"/>
                <c:pt idx="0">
                  <c:v>2.7734386770700321</c:v>
                </c:pt>
                <c:pt idx="1">
                  <c:v>2.544157037568302</c:v>
                </c:pt>
                <c:pt idx="2">
                  <c:v>2.3673831098494502</c:v>
                </c:pt>
                <c:pt idx="3">
                  <c:v>2.119757444620392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'Dados Gerais'!$BR$225</c:f>
              <c:strCache>
                <c:ptCount val="1"/>
                <c:pt idx="0">
                  <c:v>Rio Grande do Sul</c:v>
                </c:pt>
              </c:strCache>
            </c:strRef>
          </c:tx>
          <c:val>
            <c:numRef>
              <c:f>'Dados Gerais'!$BS$225:$BV$225</c:f>
              <c:numCache>
                <c:formatCode>0.00</c:formatCode>
                <c:ptCount val="4"/>
                <c:pt idx="0">
                  <c:v>2.1849504066877752</c:v>
                </c:pt>
                <c:pt idx="1">
                  <c:v>2.2795590063710072</c:v>
                </c:pt>
                <c:pt idx="2">
                  <c:v>2.1669101356784131</c:v>
                </c:pt>
                <c:pt idx="3">
                  <c:v>2.1298018438538282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'Dados Gerais'!$BR$221</c:f>
              <c:strCache>
                <c:ptCount val="1"/>
                <c:pt idx="0">
                  <c:v>São Paulo</c:v>
                </c:pt>
              </c:strCache>
            </c:strRef>
          </c:tx>
          <c:val>
            <c:numRef>
              <c:f>'Dados Gerais'!$BS$221:$BV$221</c:f>
              <c:numCache>
                <c:formatCode>0.00</c:formatCode>
                <c:ptCount val="4"/>
                <c:pt idx="0">
                  <c:v>3.4197310328314732</c:v>
                </c:pt>
                <c:pt idx="1">
                  <c:v>2.9456294569309338</c:v>
                </c:pt>
                <c:pt idx="2">
                  <c:v>2.5043984319154009</c:v>
                </c:pt>
                <c:pt idx="3">
                  <c:v>2.5143104932596181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'Dados Gerais'!$BR$220</c:f>
              <c:strCache>
                <c:ptCount val="1"/>
                <c:pt idx="0">
                  <c:v>Rio de Janeiro</c:v>
                </c:pt>
              </c:strCache>
            </c:strRef>
          </c:tx>
          <c:val>
            <c:numRef>
              <c:f>'Dados Gerais'!$BS$220:$BV$220</c:f>
              <c:numCache>
                <c:formatCode>0.00</c:formatCode>
                <c:ptCount val="4"/>
                <c:pt idx="0">
                  <c:v>1.584147663035006</c:v>
                </c:pt>
                <c:pt idx="1">
                  <c:v>1.441569291089593</c:v>
                </c:pt>
                <c:pt idx="2">
                  <c:v>1.693803836538585</c:v>
                </c:pt>
                <c:pt idx="3">
                  <c:v>1.3065025667361361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'Dados Gerais'!$BR$218</c:f>
              <c:strCache>
                <c:ptCount val="1"/>
                <c:pt idx="0">
                  <c:v>Minas Gerais</c:v>
                </c:pt>
              </c:strCache>
            </c:strRef>
          </c:tx>
          <c:val>
            <c:numRef>
              <c:f>'Dados Gerais'!$BS$218:$BV$218</c:f>
              <c:numCache>
                <c:formatCode>0.00</c:formatCode>
                <c:ptCount val="4"/>
                <c:pt idx="0">
                  <c:v>3.1576792331041101</c:v>
                </c:pt>
                <c:pt idx="1">
                  <c:v>3.8587237300826058</c:v>
                </c:pt>
                <c:pt idx="2">
                  <c:v>3.394170740697938</c:v>
                </c:pt>
                <c:pt idx="3">
                  <c:v>1.9699407502966091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'Dados Gerais'!$BR$223</c:f>
              <c:strCache>
                <c:ptCount val="1"/>
                <c:pt idx="0">
                  <c:v>Paraná</c:v>
                </c:pt>
              </c:strCache>
            </c:strRef>
          </c:tx>
          <c:val>
            <c:numRef>
              <c:f>'Dados Gerais'!$BS$223:$BV$223</c:f>
              <c:numCache>
                <c:formatCode>0.00</c:formatCode>
                <c:ptCount val="4"/>
                <c:pt idx="0">
                  <c:v>2.4827315948324542</c:v>
                </c:pt>
                <c:pt idx="1">
                  <c:v>2.4158291339262492</c:v>
                </c:pt>
                <c:pt idx="2">
                  <c:v>2.0724047168135469</c:v>
                </c:pt>
                <c:pt idx="3">
                  <c:v>1.9387007425317411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'Dados Gerais'!$BR$224</c:f>
              <c:strCache>
                <c:ptCount val="1"/>
                <c:pt idx="0">
                  <c:v>Santa Catarina</c:v>
                </c:pt>
              </c:strCache>
            </c:strRef>
          </c:tx>
          <c:val>
            <c:numRef>
              <c:f>'Dados Gerais'!$BS$224:$BV$224</c:f>
              <c:numCache>
                <c:formatCode>0.00</c:formatCode>
                <c:ptCount val="4"/>
                <c:pt idx="0">
                  <c:v>2.16019594295858</c:v>
                </c:pt>
                <c:pt idx="1">
                  <c:v>1.7066477586882709</c:v>
                </c:pt>
                <c:pt idx="2">
                  <c:v>2.4682878460868349</c:v>
                </c:pt>
                <c:pt idx="3">
                  <c:v>1.753763705693818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30816"/>
        <c:axId val="80132352"/>
      </c:lineChart>
      <c:catAx>
        <c:axId val="8013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132352"/>
        <c:crosses val="autoZero"/>
        <c:auto val="1"/>
        <c:lblAlgn val="ctr"/>
        <c:lblOffset val="100"/>
        <c:noMultiLvlLbl val="0"/>
      </c:catAx>
      <c:valAx>
        <c:axId val="8013235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80130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682850158102401"/>
          <c:w val="1"/>
          <c:h val="0.2198095888543430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/>
          <a:cs typeface="Arial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en-US" sz="800"/>
              <a:t>P&amp;D interno (%)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005565185341"/>
          <c:y val="8.4153659081977902E-2"/>
          <c:w val="0.85669639054005398"/>
          <c:h val="0.63418283435457801"/>
        </c:manualLayout>
      </c:layout>
      <c:lineChart>
        <c:grouping val="standard"/>
        <c:varyColors val="0"/>
        <c:ser>
          <c:idx val="0"/>
          <c:order val="0"/>
          <c:tx>
            <c:strRef>
              <c:f>'Dados Gerais'!$BW$209</c:f>
              <c:strCache>
                <c:ptCount val="1"/>
                <c:pt idx="0">
                  <c:v>         Brasil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'Dados Gerais'!$BX$206:$CA$206</c:f>
              <c:numCache>
                <c:formatCode>General</c:formatCode>
                <c:ptCount val="4"/>
                <c:pt idx="0">
                  <c:v>2005</c:v>
                </c:pt>
                <c:pt idx="1">
                  <c:v>2008</c:v>
                </c:pt>
                <c:pt idx="2">
                  <c:v>2011</c:v>
                </c:pt>
                <c:pt idx="3">
                  <c:v>2014</c:v>
                </c:pt>
              </c:numCache>
            </c:numRef>
          </c:cat>
          <c:val>
            <c:numRef>
              <c:f>'Dados Gerais'!$BX$209:$CA$209</c:f>
              <c:numCache>
                <c:formatCode>0.00</c:formatCode>
                <c:ptCount val="4"/>
                <c:pt idx="0">
                  <c:v>0.573367512985551</c:v>
                </c:pt>
                <c:pt idx="1">
                  <c:v>0.62304924570791897</c:v>
                </c:pt>
                <c:pt idx="2">
                  <c:v>0.70504227698211897</c:v>
                </c:pt>
                <c:pt idx="3">
                  <c:v>0.66829360063557297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'Dados Gerais'!$BW$225</c:f>
              <c:strCache>
                <c:ptCount val="1"/>
                <c:pt idx="0">
                  <c:v>Rio Grande do Sul</c:v>
                </c:pt>
              </c:strCache>
            </c:strRef>
          </c:tx>
          <c:cat>
            <c:numRef>
              <c:f>'Dados Gerais'!$BX$206:$CA$206</c:f>
              <c:numCache>
                <c:formatCode>General</c:formatCode>
                <c:ptCount val="4"/>
                <c:pt idx="0">
                  <c:v>2005</c:v>
                </c:pt>
                <c:pt idx="1">
                  <c:v>2008</c:v>
                </c:pt>
                <c:pt idx="2">
                  <c:v>2011</c:v>
                </c:pt>
                <c:pt idx="3">
                  <c:v>2014</c:v>
                </c:pt>
              </c:numCache>
            </c:numRef>
          </c:cat>
          <c:val>
            <c:numRef>
              <c:f>'Dados Gerais'!$BX$225:$CA$225</c:f>
              <c:numCache>
                <c:formatCode>0.00</c:formatCode>
                <c:ptCount val="4"/>
                <c:pt idx="0">
                  <c:v>0.400740543617916</c:v>
                </c:pt>
                <c:pt idx="1">
                  <c:v>0.39013155905199998</c:v>
                </c:pt>
                <c:pt idx="2">
                  <c:v>0.59905153734984595</c:v>
                </c:pt>
                <c:pt idx="3">
                  <c:v>0.64558113431332098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'Dados Gerais'!$BW$221</c:f>
              <c:strCache>
                <c:ptCount val="1"/>
                <c:pt idx="0">
                  <c:v>São Paulo</c:v>
                </c:pt>
              </c:strCache>
            </c:strRef>
          </c:tx>
          <c:cat>
            <c:numRef>
              <c:f>'Dados Gerais'!$BX$206:$CA$206</c:f>
              <c:numCache>
                <c:formatCode>General</c:formatCode>
                <c:ptCount val="4"/>
                <c:pt idx="0">
                  <c:v>2005</c:v>
                </c:pt>
                <c:pt idx="1">
                  <c:v>2008</c:v>
                </c:pt>
                <c:pt idx="2">
                  <c:v>2011</c:v>
                </c:pt>
                <c:pt idx="3">
                  <c:v>2014</c:v>
                </c:pt>
              </c:numCache>
            </c:numRef>
          </c:cat>
          <c:val>
            <c:numRef>
              <c:f>'Dados Gerais'!$BX$221:$CA$221</c:f>
              <c:numCache>
                <c:formatCode>0.00</c:formatCode>
                <c:ptCount val="4"/>
                <c:pt idx="0">
                  <c:v>0.73454226007685597</c:v>
                </c:pt>
                <c:pt idx="1">
                  <c:v>0.773555237013686</c:v>
                </c:pt>
                <c:pt idx="2">
                  <c:v>0.71772258642336595</c:v>
                </c:pt>
                <c:pt idx="3">
                  <c:v>0.80962521087370798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'Dados Gerais'!$BW$220</c:f>
              <c:strCache>
                <c:ptCount val="1"/>
                <c:pt idx="0">
                  <c:v>Rio de Janeiro</c:v>
                </c:pt>
              </c:strCache>
            </c:strRef>
          </c:tx>
          <c:cat>
            <c:numRef>
              <c:f>'Dados Gerais'!$BX$206:$CA$206</c:f>
              <c:numCache>
                <c:formatCode>General</c:formatCode>
                <c:ptCount val="4"/>
                <c:pt idx="0">
                  <c:v>2005</c:v>
                </c:pt>
                <c:pt idx="1">
                  <c:v>2008</c:v>
                </c:pt>
                <c:pt idx="2">
                  <c:v>2011</c:v>
                </c:pt>
                <c:pt idx="3">
                  <c:v>2014</c:v>
                </c:pt>
              </c:numCache>
            </c:numRef>
          </c:cat>
          <c:val>
            <c:numRef>
              <c:f>'Dados Gerais'!$BX$220:$CA$220</c:f>
              <c:numCache>
                <c:formatCode>0.00</c:formatCode>
                <c:ptCount val="4"/>
                <c:pt idx="0">
                  <c:v>0.62275509661036099</c:v>
                </c:pt>
                <c:pt idx="1">
                  <c:v>0.68821477188031799</c:v>
                </c:pt>
                <c:pt idx="2">
                  <c:v>1.1575085802462759</c:v>
                </c:pt>
                <c:pt idx="3">
                  <c:v>0.75572089725989999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'Dados Gerais'!$BW$218</c:f>
              <c:strCache>
                <c:ptCount val="1"/>
                <c:pt idx="0">
                  <c:v>Minas Gerais</c:v>
                </c:pt>
              </c:strCache>
            </c:strRef>
          </c:tx>
          <c:val>
            <c:numRef>
              <c:f>'Dados Gerais'!$BX$218:$CA$218</c:f>
              <c:numCache>
                <c:formatCode>0.00</c:formatCode>
                <c:ptCount val="4"/>
                <c:pt idx="0">
                  <c:v>0.47149971241607502</c:v>
                </c:pt>
                <c:pt idx="1">
                  <c:v>0.80230519658981703</c:v>
                </c:pt>
                <c:pt idx="2">
                  <c:v>0.69822756684715803</c:v>
                </c:pt>
                <c:pt idx="3">
                  <c:v>0.51734329316419703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'Dados Gerais'!$BW$223</c:f>
              <c:strCache>
                <c:ptCount val="1"/>
                <c:pt idx="0">
                  <c:v>Paraná</c:v>
                </c:pt>
              </c:strCache>
            </c:strRef>
          </c:tx>
          <c:val>
            <c:numRef>
              <c:f>'Dados Gerais'!$BX$223:$CA$223</c:f>
              <c:numCache>
                <c:formatCode>0.00</c:formatCode>
                <c:ptCount val="4"/>
                <c:pt idx="0">
                  <c:v>0.34788528880737102</c:v>
                </c:pt>
                <c:pt idx="1">
                  <c:v>0.43932181478403998</c:v>
                </c:pt>
                <c:pt idx="2">
                  <c:v>0.51996745973968905</c:v>
                </c:pt>
                <c:pt idx="3">
                  <c:v>0.48478241833496899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'Dados Gerais'!$BW$224</c:f>
              <c:strCache>
                <c:ptCount val="1"/>
                <c:pt idx="0">
                  <c:v>Santa Catarina</c:v>
                </c:pt>
              </c:strCache>
            </c:strRef>
          </c:tx>
          <c:val>
            <c:numRef>
              <c:f>'Dados Gerais'!$BX$224:$CA$224</c:f>
              <c:numCache>
                <c:formatCode>0.00</c:formatCode>
                <c:ptCount val="4"/>
                <c:pt idx="0">
                  <c:v>0.486828510807641</c:v>
                </c:pt>
                <c:pt idx="1">
                  <c:v>0.28831511548641597</c:v>
                </c:pt>
                <c:pt idx="2">
                  <c:v>0.60588974207482205</c:v>
                </c:pt>
                <c:pt idx="3">
                  <c:v>0.58569492664687794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660736"/>
        <c:axId val="82662528"/>
      </c:lineChart>
      <c:catAx>
        <c:axId val="8266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662528"/>
        <c:crosses val="autoZero"/>
        <c:auto val="1"/>
        <c:lblAlgn val="ctr"/>
        <c:lblOffset val="100"/>
        <c:noMultiLvlLbl val="0"/>
      </c:catAx>
      <c:valAx>
        <c:axId val="8266252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82660736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"/>
          <c:y val="0.77690350460519397"/>
          <c:w val="1"/>
          <c:h val="0.2197357156939150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/>
          <a:cs typeface="Arial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390519577378"/>
          <c:y val="3.36351875808538E-2"/>
          <c:w val="0.71602439043448995"/>
          <c:h val="0.900784956860987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'Esforço P&amp;D interno'!$Q$46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'Esforço P&amp;D interno'!$P$47:$P$70</c:f>
              <c:strCache>
                <c:ptCount val="24"/>
                <c:pt idx="0">
                  <c:v>Turquia</c:v>
                </c:pt>
                <c:pt idx="1">
                  <c:v>Paraná</c:v>
                </c:pt>
                <c:pt idx="2">
                  <c:v>Minas Gerais</c:v>
                </c:pt>
                <c:pt idx="3">
                  <c:v>Portugal</c:v>
                </c:pt>
                <c:pt idx="4">
                  <c:v>Rio Grande do Sul</c:v>
                </c:pt>
                <c:pt idx="5">
                  <c:v>Espanha</c:v>
                </c:pt>
                <c:pt idx="6">
                  <c:v>Brasil</c:v>
                </c:pt>
                <c:pt idx="7">
                  <c:v>Noruega</c:v>
                </c:pt>
                <c:pt idx="8">
                  <c:v>Santa Catarina</c:v>
                </c:pt>
                <c:pt idx="9">
                  <c:v>Canadá</c:v>
                </c:pt>
                <c:pt idx="10">
                  <c:v>Reino Unido</c:v>
                </c:pt>
                <c:pt idx="11">
                  <c:v>São Paulo</c:v>
                </c:pt>
                <c:pt idx="12">
                  <c:v>Itália</c:v>
                </c:pt>
                <c:pt idx="13">
                  <c:v>Rio de Janeiro</c:v>
                </c:pt>
                <c:pt idx="14">
                  <c:v>Rep. Checa</c:v>
                </c:pt>
                <c:pt idx="15">
                  <c:v>Holanda</c:v>
                </c:pt>
                <c:pt idx="16">
                  <c:v>Israel</c:v>
                </c:pt>
                <c:pt idx="17">
                  <c:v>Dinamarca</c:v>
                </c:pt>
                <c:pt idx="18">
                  <c:v>Estados Unidos</c:v>
                </c:pt>
                <c:pt idx="19">
                  <c:v>China</c:v>
                </c:pt>
                <c:pt idx="20">
                  <c:v>Finlândia</c:v>
                </c:pt>
                <c:pt idx="21">
                  <c:v>Alemanha</c:v>
                </c:pt>
                <c:pt idx="22">
                  <c:v>Japão</c:v>
                </c:pt>
                <c:pt idx="23">
                  <c:v>Coreia do Sul</c:v>
                </c:pt>
              </c:strCache>
            </c:strRef>
          </c:cat>
          <c:val>
            <c:numRef>
              <c:f>'Esforço P&amp;D interno'!$Q$47:$Q$70</c:f>
              <c:numCache>
                <c:formatCode>0.00</c:formatCode>
                <c:ptCount val="24"/>
                <c:pt idx="0">
                  <c:v>0.18563473565892499</c:v>
                </c:pt>
                <c:pt idx="1">
                  <c:v>0.241562088622049</c:v>
                </c:pt>
                <c:pt idx="2">
                  <c:v>0.33135180166880901</c:v>
                </c:pt>
                <c:pt idx="3">
                  <c:v>0.24724894185093399</c:v>
                </c:pt>
                <c:pt idx="4">
                  <c:v>0.29985280153725102</c:v>
                </c:pt>
                <c:pt idx="5">
                  <c:v>0.321373152231896</c:v>
                </c:pt>
                <c:pt idx="6">
                  <c:v>0.346332085382142</c:v>
                </c:pt>
                <c:pt idx="7">
                  <c:v>0.32162202141639601</c:v>
                </c:pt>
                <c:pt idx="8">
                  <c:v>0.414832448130321</c:v>
                </c:pt>
                <c:pt idx="9">
                  <c:v>0.49680155396678499</c:v>
                </c:pt>
                <c:pt idx="10">
                  <c:v>0.40512837519975098</c:v>
                </c:pt>
                <c:pt idx="11">
                  <c:v>0.454784139023439</c:v>
                </c:pt>
                <c:pt idx="12">
                  <c:v>0.490404992215142</c:v>
                </c:pt>
                <c:pt idx="13">
                  <c:v>0.82012836533644295</c:v>
                </c:pt>
                <c:pt idx="14">
                  <c:v>0.48439959789327802</c:v>
                </c:pt>
                <c:pt idx="15">
                  <c:v>0.61676390394584801</c:v>
                </c:pt>
                <c:pt idx="16">
                  <c:v>1.01205636064351</c:v>
                </c:pt>
                <c:pt idx="17">
                  <c:v>1.0228204286857541</c:v>
                </c:pt>
                <c:pt idx="18">
                  <c:v>1.3152144171843581</c:v>
                </c:pt>
                <c:pt idx="19">
                  <c:v>1.2155986656627029</c:v>
                </c:pt>
                <c:pt idx="20">
                  <c:v>1.974107655344417</c:v>
                </c:pt>
                <c:pt idx="21">
                  <c:v>1.618255941282666</c:v>
                </c:pt>
                <c:pt idx="22">
                  <c:v>2.195037326379174</c:v>
                </c:pt>
                <c:pt idx="23">
                  <c:v>2.50977420703079</c:v>
                </c:pt>
              </c:numCache>
            </c:numRef>
          </c:val>
        </c:ser>
        <c:ser>
          <c:idx val="1"/>
          <c:order val="1"/>
          <c:tx>
            <c:strRef>
              <c:f>'Esforço P&amp;D interno'!$R$46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'Esforço P&amp;D interno'!$P$47:$P$70</c:f>
              <c:strCache>
                <c:ptCount val="24"/>
                <c:pt idx="0">
                  <c:v>Turquia</c:v>
                </c:pt>
                <c:pt idx="1">
                  <c:v>Paraná</c:v>
                </c:pt>
                <c:pt idx="2">
                  <c:v>Minas Gerais</c:v>
                </c:pt>
                <c:pt idx="3">
                  <c:v>Portugal</c:v>
                </c:pt>
                <c:pt idx="4">
                  <c:v>Rio Grande do Sul</c:v>
                </c:pt>
                <c:pt idx="5">
                  <c:v>Espanha</c:v>
                </c:pt>
                <c:pt idx="6">
                  <c:v>Brasil</c:v>
                </c:pt>
                <c:pt idx="7">
                  <c:v>Noruega</c:v>
                </c:pt>
                <c:pt idx="8">
                  <c:v>Santa Catarina</c:v>
                </c:pt>
                <c:pt idx="9">
                  <c:v>Canadá</c:v>
                </c:pt>
                <c:pt idx="10">
                  <c:v>Reino Unido</c:v>
                </c:pt>
                <c:pt idx="11">
                  <c:v>São Paulo</c:v>
                </c:pt>
                <c:pt idx="12">
                  <c:v>Itália</c:v>
                </c:pt>
                <c:pt idx="13">
                  <c:v>Rio de Janeiro</c:v>
                </c:pt>
                <c:pt idx="14">
                  <c:v>Rep. Checa</c:v>
                </c:pt>
                <c:pt idx="15">
                  <c:v>Holanda</c:v>
                </c:pt>
                <c:pt idx="16">
                  <c:v>Israel</c:v>
                </c:pt>
                <c:pt idx="17">
                  <c:v>Dinamarca</c:v>
                </c:pt>
                <c:pt idx="18">
                  <c:v>Estados Unidos</c:v>
                </c:pt>
                <c:pt idx="19">
                  <c:v>China</c:v>
                </c:pt>
                <c:pt idx="20">
                  <c:v>Finlândia</c:v>
                </c:pt>
                <c:pt idx="21">
                  <c:v>Alemanha</c:v>
                </c:pt>
                <c:pt idx="22">
                  <c:v>Japão</c:v>
                </c:pt>
                <c:pt idx="23">
                  <c:v>Coreia do Sul</c:v>
                </c:pt>
              </c:strCache>
            </c:strRef>
          </c:cat>
          <c:val>
            <c:numRef>
              <c:f>'Esforço P&amp;D interno'!$R$47:$R$70</c:f>
              <c:numCache>
                <c:formatCode>0.00</c:formatCode>
                <c:ptCount val="24"/>
                <c:pt idx="0">
                  <c:v>0.22309993304315701</c:v>
                </c:pt>
                <c:pt idx="1">
                  <c:v>0.22771947615146601</c:v>
                </c:pt>
                <c:pt idx="2">
                  <c:v>0.22832878867584899</c:v>
                </c:pt>
                <c:pt idx="3">
                  <c:v>0.25028273929505801</c:v>
                </c:pt>
                <c:pt idx="4">
                  <c:v>0.29806792567877999</c:v>
                </c:pt>
                <c:pt idx="5">
                  <c:v>0.299708300185627</c:v>
                </c:pt>
                <c:pt idx="6">
                  <c:v>0.31444407400322499</c:v>
                </c:pt>
                <c:pt idx="7">
                  <c:v>0.35383717401542703</c:v>
                </c:pt>
                <c:pt idx="8">
                  <c:v>0.36898287602585</c:v>
                </c:pt>
                <c:pt idx="9">
                  <c:v>0.41601176329989598</c:v>
                </c:pt>
                <c:pt idx="10">
                  <c:v>0.43712413853650001</c:v>
                </c:pt>
                <c:pt idx="11">
                  <c:v>0.47469502863416302</c:v>
                </c:pt>
                <c:pt idx="12">
                  <c:v>0.54192747156981402</c:v>
                </c:pt>
                <c:pt idx="13">
                  <c:v>0.55491561432406</c:v>
                </c:pt>
                <c:pt idx="14">
                  <c:v>0.62358207598934501</c:v>
                </c:pt>
                <c:pt idx="15">
                  <c:v>0.67233638206477098</c:v>
                </c:pt>
                <c:pt idx="16">
                  <c:v>0.87695240148004805</c:v>
                </c:pt>
                <c:pt idx="17">
                  <c:v>1.0651129975648059</c:v>
                </c:pt>
                <c:pt idx="18">
                  <c:v>1.365587267550822</c:v>
                </c:pt>
                <c:pt idx="19">
                  <c:v>1.4217594404619249</c:v>
                </c:pt>
                <c:pt idx="20">
                  <c:v>1.524621119947049</c:v>
                </c:pt>
                <c:pt idx="21">
                  <c:v>1.6927491424213299</c:v>
                </c:pt>
                <c:pt idx="22">
                  <c:v>2.2890626399168381</c:v>
                </c:pt>
                <c:pt idx="23">
                  <c:v>2.9842588958745342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689024"/>
        <c:axId val="82694912"/>
      </c:barChart>
      <c:catAx>
        <c:axId val="82689024"/>
        <c:scaling>
          <c:orientation val="minMax"/>
        </c:scaling>
        <c:delete val="0"/>
        <c:axPos val="l"/>
        <c:majorTickMark val="out"/>
        <c:minorTickMark val="none"/>
        <c:tickLblPos val="nextTo"/>
        <c:crossAx val="82694912"/>
        <c:crosses val="autoZero"/>
        <c:auto val="1"/>
        <c:lblAlgn val="ctr"/>
        <c:lblOffset val="100"/>
        <c:noMultiLvlLbl val="0"/>
      </c:catAx>
      <c:valAx>
        <c:axId val="82694912"/>
        <c:scaling>
          <c:orientation val="minMax"/>
          <c:max val="3"/>
        </c:scaling>
        <c:delete val="0"/>
        <c:axPos val="b"/>
        <c:majorGridlines/>
        <c:minorGridlines>
          <c:spPr>
            <a:ln>
              <a:prstDash val="sysDash"/>
            </a:ln>
          </c:spPr>
        </c:minorGridlines>
        <c:numFmt formatCode="0.00" sourceLinked="1"/>
        <c:majorTickMark val="out"/>
        <c:minorTickMark val="none"/>
        <c:tickLblPos val="nextTo"/>
        <c:crossAx val="826890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/>
          <a:cs typeface="Arial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Sheet3!$T$14:$T$40</c:f>
              <c:strCache>
                <c:ptCount val="27"/>
                <c:pt idx="0">
                  <c:v>Minas Gerais</c:v>
                </c:pt>
                <c:pt idx="1">
                  <c:v>Santa Catarina</c:v>
                </c:pt>
                <c:pt idx="2">
                  <c:v>Brasil </c:v>
                </c:pt>
                <c:pt idx="3">
                  <c:v>Paraná</c:v>
                </c:pt>
                <c:pt idx="4">
                  <c:v>Rio de Janeiro</c:v>
                </c:pt>
                <c:pt idx="5">
                  <c:v>Rio Grande do Sul</c:v>
                </c:pt>
                <c:pt idx="6">
                  <c:v>Lituânia</c:v>
                </c:pt>
                <c:pt idx="7">
                  <c:v>São Paulo</c:v>
                </c:pt>
                <c:pt idx="8">
                  <c:v>Turquia</c:v>
                </c:pt>
                <c:pt idx="9">
                  <c:v>Polônia</c:v>
                </c:pt>
                <c:pt idx="10">
                  <c:v>Grécia</c:v>
                </c:pt>
                <c:pt idx="11">
                  <c:v>Portugal</c:v>
                </c:pt>
                <c:pt idx="12">
                  <c:v>Hungria</c:v>
                </c:pt>
                <c:pt idx="13">
                  <c:v>Itália</c:v>
                </c:pt>
                <c:pt idx="14">
                  <c:v>Dinamarca</c:v>
                </c:pt>
                <c:pt idx="15">
                  <c:v>Espanha</c:v>
                </c:pt>
                <c:pt idx="16">
                  <c:v>Eslováquia</c:v>
                </c:pt>
                <c:pt idx="17">
                  <c:v>Alemanha</c:v>
                </c:pt>
                <c:pt idx="18">
                  <c:v>Áustria</c:v>
                </c:pt>
                <c:pt idx="19">
                  <c:v>Rep. Checa</c:v>
                </c:pt>
                <c:pt idx="20">
                  <c:v>Estônia</c:v>
                </c:pt>
                <c:pt idx="21">
                  <c:v>Bélgica</c:v>
                </c:pt>
                <c:pt idx="22">
                  <c:v>Suécia</c:v>
                </c:pt>
                <c:pt idx="23">
                  <c:v>Noruega</c:v>
                </c:pt>
                <c:pt idx="24">
                  <c:v>Irlanda</c:v>
                </c:pt>
                <c:pt idx="25">
                  <c:v>Holanda</c:v>
                </c:pt>
                <c:pt idx="26">
                  <c:v>Finlândia</c:v>
                </c:pt>
              </c:strCache>
            </c:strRef>
          </c:cat>
          <c:val>
            <c:numRef>
              <c:f>Sheet3!$U$14:$U$40</c:f>
              <c:numCache>
                <c:formatCode>0.0</c:formatCode>
                <c:ptCount val="27"/>
                <c:pt idx="0">
                  <c:v>10.948363900058199</c:v>
                </c:pt>
                <c:pt idx="1">
                  <c:v>12.531708099346799</c:v>
                </c:pt>
                <c:pt idx="2">
                  <c:v>17.099881548247069</c:v>
                </c:pt>
                <c:pt idx="3">
                  <c:v>17.567095555895001</c:v>
                </c:pt>
                <c:pt idx="4">
                  <c:v>18.723928090557258</c:v>
                </c:pt>
                <c:pt idx="5">
                  <c:v>22.003596607572639</c:v>
                </c:pt>
                <c:pt idx="6">
                  <c:v>23.071046600458359</c:v>
                </c:pt>
                <c:pt idx="7">
                  <c:v>24.762199009541192</c:v>
                </c:pt>
                <c:pt idx="8">
                  <c:v>29.135508258690109</c:v>
                </c:pt>
                <c:pt idx="9">
                  <c:v>29.559192097891788</c:v>
                </c:pt>
                <c:pt idx="10">
                  <c:v>29.70207643695456</c:v>
                </c:pt>
                <c:pt idx="11">
                  <c:v>32.297600552390819</c:v>
                </c:pt>
                <c:pt idx="12">
                  <c:v>33.73101952277657</c:v>
                </c:pt>
                <c:pt idx="13">
                  <c:v>35.011402014837053</c:v>
                </c:pt>
                <c:pt idx="14">
                  <c:v>35.504201680672132</c:v>
                </c:pt>
                <c:pt idx="15">
                  <c:v>35.818117355078897</c:v>
                </c:pt>
                <c:pt idx="16">
                  <c:v>38.593481989708387</c:v>
                </c:pt>
                <c:pt idx="17">
                  <c:v>46.818969868545217</c:v>
                </c:pt>
                <c:pt idx="18">
                  <c:v>48.980081593472292</c:v>
                </c:pt>
                <c:pt idx="19">
                  <c:v>49.039909638554221</c:v>
                </c:pt>
                <c:pt idx="20">
                  <c:v>57.362637362637336</c:v>
                </c:pt>
                <c:pt idx="21">
                  <c:v>59.214267252520038</c:v>
                </c:pt>
                <c:pt idx="22">
                  <c:v>61.321537185512852</c:v>
                </c:pt>
                <c:pt idx="23">
                  <c:v>64.859117490696406</c:v>
                </c:pt>
                <c:pt idx="24">
                  <c:v>65.376186997808546</c:v>
                </c:pt>
                <c:pt idx="25">
                  <c:v>72.060630888979929</c:v>
                </c:pt>
                <c:pt idx="26">
                  <c:v>74.178180085755045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242432"/>
        <c:axId val="84243968"/>
      </c:barChart>
      <c:catAx>
        <c:axId val="84242432"/>
        <c:scaling>
          <c:orientation val="minMax"/>
        </c:scaling>
        <c:delete val="0"/>
        <c:axPos val="l"/>
        <c:majorTickMark val="out"/>
        <c:minorTickMark val="none"/>
        <c:tickLblPos val="nextTo"/>
        <c:crossAx val="84243968"/>
        <c:crosses val="autoZero"/>
        <c:auto val="1"/>
        <c:lblAlgn val="ctr"/>
        <c:lblOffset val="100"/>
        <c:noMultiLvlLbl val="0"/>
      </c:catAx>
      <c:valAx>
        <c:axId val="84243968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crossAx val="84242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>
          <a:latin typeface="Arial"/>
          <a:cs typeface="Arial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566742-A46A-4094-AE7A-DE1D1B95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10486</Words>
  <Characters>56625</Characters>
  <Application>Microsoft Office Word</Application>
  <DocSecurity>0</DocSecurity>
  <Lines>471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Evolução de Capacitações Tecnológicas na Indústria do Rio Grande do Sul: 2005-20</vt:lpstr>
      <vt:lpstr>    </vt:lpstr>
      <vt:lpstr>    Resumo</vt:lpstr>
      <vt:lpstr>    Abstract</vt:lpstr>
      <vt:lpstr>    Introdução</vt:lpstr>
      <vt:lpstr>    1 – Metodologia de Análise</vt:lpstr>
      <vt:lpstr>    2 – Formação de Capacitações Tecnológicas na Indústria do Rio Grande do Sul</vt:lpstr>
      <vt:lpstr>    Considerações Finais</vt:lpstr>
      <vt:lpstr>    Referências Bibliográficas</vt:lpstr>
    </vt:vector>
  </TitlesOfParts>
  <Manager/>
  <Company/>
  <LinksUpToDate>false</LinksUpToDate>
  <CharactersWithSpaces>66978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2017-06-14T13:34:00Z</cp:lastPrinted>
  <dcterms:created xsi:type="dcterms:W3CDTF">2017-09-27T12:43:00Z</dcterms:created>
  <dcterms:modified xsi:type="dcterms:W3CDTF">2017-09-27T14:09:00Z</dcterms:modified>
  <cp:category/>
</cp:coreProperties>
</file>