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8EDD2" w14:textId="77777777" w:rsidR="00CB4612" w:rsidRPr="00A42604" w:rsidRDefault="00CB4612" w:rsidP="00CB4612">
      <w:pPr>
        <w:spacing w:line="360" w:lineRule="auto"/>
        <w:jc w:val="center"/>
        <w:rPr>
          <w:rFonts w:ascii="Gill Sans MT" w:hAnsi="Gill Sans MT" w:cs="Times New Roman"/>
          <w:b/>
          <w:bCs/>
          <w:sz w:val="32"/>
          <w:szCs w:val="24"/>
        </w:rPr>
      </w:pPr>
      <w:r w:rsidRPr="00A42604">
        <w:rPr>
          <w:rFonts w:ascii="Gill Sans MT" w:hAnsi="Gill Sans MT" w:cs="Times New Roman"/>
          <w:b/>
          <w:bCs/>
          <w:sz w:val="32"/>
          <w:szCs w:val="24"/>
        </w:rPr>
        <w:t>O que Explica a Deterioração Recente das Finanças Públicas do RS e Quais são as Perspectivas?</w:t>
      </w:r>
    </w:p>
    <w:p w14:paraId="5F7848BC" w14:textId="77777777" w:rsidR="00CB4612" w:rsidRPr="00A42604" w:rsidRDefault="00CB4612" w:rsidP="00CB4612">
      <w:pPr>
        <w:spacing w:line="360" w:lineRule="auto"/>
        <w:jc w:val="center"/>
        <w:rPr>
          <w:rFonts w:ascii="Gill Sans MT" w:hAnsi="Gill Sans MT" w:cs="Times New Roman"/>
          <w:b/>
          <w:bCs/>
          <w:sz w:val="32"/>
          <w:szCs w:val="24"/>
        </w:rPr>
      </w:pPr>
    </w:p>
    <w:p w14:paraId="248B3E06" w14:textId="77777777" w:rsidR="00CB4612" w:rsidRPr="00A42604" w:rsidRDefault="00CB4612" w:rsidP="00CB4612">
      <w:pPr>
        <w:spacing w:line="360" w:lineRule="auto"/>
        <w:jc w:val="center"/>
        <w:rPr>
          <w:rFonts w:ascii="Gill Sans MT" w:hAnsi="Gill Sans MT" w:cs="Times New Roman"/>
          <w:bCs/>
          <w:sz w:val="32"/>
          <w:szCs w:val="24"/>
        </w:rPr>
      </w:pPr>
      <w:r w:rsidRPr="00A42604">
        <w:rPr>
          <w:rFonts w:ascii="Gill Sans MT" w:hAnsi="Gill Sans MT" w:cs="Times New Roman"/>
          <w:bCs/>
          <w:sz w:val="32"/>
          <w:szCs w:val="24"/>
        </w:rPr>
        <w:t>Jacó Braatz</w:t>
      </w:r>
    </w:p>
    <w:p w14:paraId="0CD72AF9" w14:textId="77777777" w:rsidR="00CB4612" w:rsidRDefault="00CB4612" w:rsidP="00CB4612">
      <w:pPr>
        <w:spacing w:line="360" w:lineRule="auto"/>
        <w:jc w:val="center"/>
        <w:rPr>
          <w:rFonts w:ascii="Gill Sans MT" w:hAnsi="Gill Sans MT" w:cs="Times New Roman"/>
          <w:bCs/>
          <w:sz w:val="20"/>
          <w:szCs w:val="20"/>
        </w:rPr>
      </w:pPr>
      <w:r w:rsidRPr="00A42604">
        <w:rPr>
          <w:rFonts w:ascii="Gill Sans MT" w:hAnsi="Gill Sans MT" w:cs="Times New Roman"/>
          <w:bCs/>
          <w:sz w:val="20"/>
          <w:szCs w:val="20"/>
        </w:rPr>
        <w:t>Auditor-Fiscal da Receita Estadual</w:t>
      </w:r>
    </w:p>
    <w:p w14:paraId="6EF8C079" w14:textId="77777777" w:rsidR="004E0C8B" w:rsidRDefault="004E0C8B" w:rsidP="004E0C8B">
      <w:pPr>
        <w:spacing w:line="360" w:lineRule="auto"/>
        <w:rPr>
          <w:rFonts w:ascii="Gill Sans MT" w:hAnsi="Gill Sans MT" w:cs="Times New Roman"/>
          <w:bCs/>
          <w:sz w:val="20"/>
          <w:szCs w:val="20"/>
        </w:rPr>
      </w:pPr>
    </w:p>
    <w:p w14:paraId="2DDCB091" w14:textId="2591DC5B" w:rsidR="004E0C8B" w:rsidRDefault="004E0C8B" w:rsidP="004E0C8B">
      <w:pPr>
        <w:spacing w:line="240" w:lineRule="auto"/>
        <w:jc w:val="both"/>
        <w:rPr>
          <w:rFonts w:ascii="Gill Sans MT" w:hAnsi="Gill Sans MT" w:cs="Times New Roman"/>
          <w:sz w:val="24"/>
          <w:szCs w:val="24"/>
        </w:rPr>
      </w:pPr>
      <w:r w:rsidRPr="004E0C8B">
        <w:rPr>
          <w:rFonts w:ascii="Gill Sans MT" w:hAnsi="Gill Sans MT" w:cs="Times New Roman"/>
          <w:b/>
          <w:sz w:val="24"/>
          <w:szCs w:val="24"/>
        </w:rPr>
        <w:t>Resumo</w:t>
      </w:r>
      <w:r w:rsidRPr="004E0C8B">
        <w:rPr>
          <w:rFonts w:ascii="Gill Sans MT" w:hAnsi="Gill Sans MT" w:cs="Times New Roman"/>
          <w:sz w:val="24"/>
          <w:szCs w:val="24"/>
        </w:rPr>
        <w:t xml:space="preserve">: o presente </w:t>
      </w:r>
      <w:r w:rsidRPr="00C74FD1">
        <w:rPr>
          <w:rFonts w:ascii="Gill Sans MT" w:hAnsi="Gill Sans MT" w:cs="Times New Roman"/>
          <w:i/>
          <w:sz w:val="24"/>
          <w:szCs w:val="24"/>
        </w:rPr>
        <w:t>paper</w:t>
      </w:r>
      <w:r w:rsidRPr="004E0C8B">
        <w:rPr>
          <w:rFonts w:ascii="Gill Sans MT" w:hAnsi="Gill Sans MT" w:cs="Times New Roman"/>
          <w:sz w:val="24"/>
          <w:szCs w:val="24"/>
        </w:rPr>
        <w:t xml:space="preserve"> tem por objetivo apresentar, analisar e discutir </w:t>
      </w:r>
      <w:r>
        <w:rPr>
          <w:rFonts w:ascii="Gill Sans MT" w:hAnsi="Gill Sans MT" w:cs="Times New Roman"/>
          <w:sz w:val="24"/>
          <w:szCs w:val="24"/>
        </w:rPr>
        <w:t>o</w:t>
      </w:r>
      <w:r w:rsidRPr="00A42604">
        <w:rPr>
          <w:rFonts w:ascii="Gill Sans MT" w:hAnsi="Gill Sans MT" w:cs="Times New Roman"/>
          <w:sz w:val="24"/>
          <w:szCs w:val="24"/>
        </w:rPr>
        <w:t xml:space="preserve"> que tem condicionado o comportamento das receitas e despesas públicas ao longo do tempo, que como visto tem gerado expressivos resultados negativos, e quais os possíveis caminhos</w:t>
      </w:r>
      <w:r>
        <w:rPr>
          <w:rFonts w:ascii="Gill Sans MT" w:hAnsi="Gill Sans MT" w:cs="Times New Roman"/>
          <w:sz w:val="24"/>
          <w:szCs w:val="24"/>
        </w:rPr>
        <w:t xml:space="preserve"> que podem ser seguidos pelo </w:t>
      </w:r>
      <w:r w:rsidRPr="00A42604">
        <w:rPr>
          <w:rFonts w:ascii="Gill Sans MT" w:hAnsi="Gill Sans MT" w:cs="Times New Roman"/>
          <w:sz w:val="24"/>
          <w:szCs w:val="24"/>
        </w:rPr>
        <w:t>estado do Rio Grande do Sul. Para isso, faremos uma análise das receitas públicas ao longo do tempo, sua evolução e principais condicionantes; posteriormente será analisada a despesa pública, sua evolução, distribuição e as contingências enfrentadas mais recentemente.</w:t>
      </w:r>
      <w:r w:rsidR="00C74FD1">
        <w:rPr>
          <w:rFonts w:ascii="Gill Sans MT" w:hAnsi="Gill Sans MT" w:cs="Times New Roman"/>
          <w:sz w:val="24"/>
          <w:szCs w:val="24"/>
        </w:rPr>
        <w:t xml:space="preserve"> Apresenta-se ao final </w:t>
      </w:r>
      <w:r w:rsidRPr="00A42604">
        <w:rPr>
          <w:rFonts w:ascii="Gill Sans MT" w:hAnsi="Gill Sans MT" w:cs="Times New Roman"/>
          <w:sz w:val="24"/>
          <w:szCs w:val="24"/>
        </w:rPr>
        <w:t>um possível indicador de sustentabilidade de curto e médio prazo, e possivelmente, como veremos, um indicador antecedente de “problemas de cai</w:t>
      </w:r>
      <w:r w:rsidR="00C74FD1">
        <w:rPr>
          <w:rFonts w:ascii="Gill Sans MT" w:hAnsi="Gill Sans MT" w:cs="Times New Roman"/>
          <w:sz w:val="24"/>
          <w:szCs w:val="24"/>
        </w:rPr>
        <w:t>xa” para os entes subnacionais.</w:t>
      </w:r>
    </w:p>
    <w:p w14:paraId="1C451A69" w14:textId="77777777" w:rsidR="00CB4612" w:rsidRPr="00A42604" w:rsidRDefault="00CB4612" w:rsidP="00A1139B">
      <w:pPr>
        <w:jc w:val="center"/>
        <w:rPr>
          <w:rFonts w:ascii="Gill Sans MT" w:hAnsi="Gill Sans MT" w:cs="Times New Roman"/>
          <w:bCs/>
          <w:sz w:val="24"/>
          <w:szCs w:val="24"/>
        </w:rPr>
      </w:pPr>
    </w:p>
    <w:p w14:paraId="1972158B" w14:textId="77777777" w:rsidR="00BF2CA1" w:rsidRPr="00A42604" w:rsidRDefault="00BF2CA1" w:rsidP="00B70856">
      <w:pPr>
        <w:pStyle w:val="PargrafodaLista"/>
        <w:numPr>
          <w:ilvl w:val="0"/>
          <w:numId w:val="3"/>
        </w:numPr>
        <w:spacing w:line="360" w:lineRule="auto"/>
        <w:ind w:left="0" w:firstLine="0"/>
        <w:rPr>
          <w:rFonts w:ascii="Gill Sans MT" w:hAnsi="Gill Sans MT" w:cs="Times New Roman"/>
          <w:b/>
          <w:sz w:val="24"/>
          <w:szCs w:val="24"/>
        </w:rPr>
      </w:pPr>
      <w:r w:rsidRPr="00A42604">
        <w:rPr>
          <w:rFonts w:ascii="Gill Sans MT" w:hAnsi="Gill Sans MT" w:cs="Times New Roman"/>
          <w:b/>
          <w:sz w:val="24"/>
          <w:szCs w:val="24"/>
        </w:rPr>
        <w:t>Introdução</w:t>
      </w:r>
    </w:p>
    <w:p w14:paraId="48B12CCB" w14:textId="77777777" w:rsidR="0091060C" w:rsidRPr="00A42604" w:rsidRDefault="0091060C" w:rsidP="00B70856">
      <w:pPr>
        <w:pStyle w:val="PargrafodaLista"/>
        <w:spacing w:line="360" w:lineRule="auto"/>
        <w:rPr>
          <w:rFonts w:ascii="Gill Sans MT" w:hAnsi="Gill Sans MT" w:cs="Times New Roman"/>
          <w:b/>
          <w:sz w:val="24"/>
          <w:szCs w:val="24"/>
        </w:rPr>
      </w:pPr>
    </w:p>
    <w:p w14:paraId="50104388" w14:textId="7D4E0E92" w:rsidR="0091060C" w:rsidRDefault="007D4945" w:rsidP="00B70856">
      <w:pPr>
        <w:pStyle w:val="PargrafodaLista"/>
        <w:spacing w:line="360" w:lineRule="auto"/>
        <w:ind w:left="0" w:firstLine="1134"/>
        <w:jc w:val="both"/>
        <w:rPr>
          <w:rFonts w:ascii="Gill Sans MT" w:hAnsi="Gill Sans MT" w:cs="Times New Roman"/>
          <w:sz w:val="24"/>
          <w:szCs w:val="24"/>
        </w:rPr>
      </w:pPr>
      <w:r w:rsidRPr="00A42604">
        <w:rPr>
          <w:rFonts w:ascii="Gill Sans MT" w:hAnsi="Gill Sans MT" w:cs="Times New Roman"/>
          <w:sz w:val="24"/>
          <w:szCs w:val="24"/>
        </w:rPr>
        <w:t xml:space="preserve">Acompanhamos recentemente uma grave deterioração nas condições das finanças públicas do estado do Rio </w:t>
      </w:r>
      <w:r w:rsidR="00655EFA" w:rsidRPr="00A42604">
        <w:rPr>
          <w:rFonts w:ascii="Gill Sans MT" w:hAnsi="Gill Sans MT" w:cs="Times New Roman"/>
          <w:sz w:val="24"/>
          <w:szCs w:val="24"/>
        </w:rPr>
        <w:t xml:space="preserve">Grande </w:t>
      </w:r>
      <w:r w:rsidRPr="00A42604">
        <w:rPr>
          <w:rFonts w:ascii="Gill Sans MT" w:hAnsi="Gill Sans MT" w:cs="Times New Roman"/>
          <w:sz w:val="24"/>
          <w:szCs w:val="24"/>
        </w:rPr>
        <w:t xml:space="preserve">do Sul. Em que pese </w:t>
      </w:r>
      <w:r w:rsidR="00B1187A" w:rsidRPr="00A42604">
        <w:rPr>
          <w:rFonts w:ascii="Gill Sans MT" w:hAnsi="Gill Sans MT" w:cs="Times New Roman"/>
          <w:sz w:val="24"/>
          <w:szCs w:val="24"/>
        </w:rPr>
        <w:t>às</w:t>
      </w:r>
      <w:r w:rsidRPr="00A42604">
        <w:rPr>
          <w:rFonts w:ascii="Gill Sans MT" w:hAnsi="Gill Sans MT" w:cs="Times New Roman"/>
          <w:sz w:val="24"/>
          <w:szCs w:val="24"/>
        </w:rPr>
        <w:t xml:space="preserve"> questões mais recentes</w:t>
      </w:r>
      <w:r w:rsidR="00857E46" w:rsidRPr="00A42604">
        <w:rPr>
          <w:rFonts w:ascii="Gill Sans MT" w:hAnsi="Gill Sans MT" w:cs="Times New Roman"/>
          <w:sz w:val="24"/>
          <w:szCs w:val="24"/>
        </w:rPr>
        <w:t xml:space="preserve"> em relação à atividade</w:t>
      </w:r>
      <w:r w:rsidRPr="00A42604">
        <w:rPr>
          <w:rFonts w:ascii="Gill Sans MT" w:hAnsi="Gill Sans MT" w:cs="Times New Roman"/>
          <w:sz w:val="24"/>
          <w:szCs w:val="24"/>
        </w:rPr>
        <w:t xml:space="preserve"> econômica advindas </w:t>
      </w:r>
      <w:r w:rsidRPr="00B1187A">
        <w:rPr>
          <w:rFonts w:ascii="Gill Sans MT" w:hAnsi="Gill Sans MT" w:cs="Times New Roman"/>
          <w:sz w:val="24"/>
          <w:szCs w:val="24"/>
        </w:rPr>
        <w:t xml:space="preserve">do </w:t>
      </w:r>
      <w:r w:rsidR="00B1187A" w:rsidRPr="00B1187A">
        <w:rPr>
          <w:rFonts w:ascii="Gill Sans MT" w:hAnsi="Gill Sans MT" w:cs="Times New Roman"/>
          <w:sz w:val="24"/>
          <w:szCs w:val="24"/>
        </w:rPr>
        <w:t>cenário nacional</w:t>
      </w:r>
      <w:r w:rsidRPr="00A42604">
        <w:rPr>
          <w:rFonts w:ascii="Gill Sans MT" w:hAnsi="Gill Sans MT" w:cs="Times New Roman"/>
          <w:sz w:val="24"/>
          <w:szCs w:val="24"/>
        </w:rPr>
        <w:t xml:space="preserve">, </w:t>
      </w:r>
      <w:r w:rsidR="00B47747" w:rsidRPr="00A42604">
        <w:rPr>
          <w:rFonts w:ascii="Gill Sans MT" w:hAnsi="Gill Sans MT" w:cs="Times New Roman"/>
          <w:sz w:val="24"/>
          <w:szCs w:val="24"/>
        </w:rPr>
        <w:t>esse histórico se ma</w:t>
      </w:r>
      <w:r w:rsidR="00EB54E5" w:rsidRPr="00A42604">
        <w:rPr>
          <w:rFonts w:ascii="Gill Sans MT" w:hAnsi="Gill Sans MT" w:cs="Times New Roman"/>
          <w:sz w:val="24"/>
          <w:szCs w:val="24"/>
        </w:rPr>
        <w:t>ntém há muito tempo, o que demostra ser a atual piora, conjuntural, dentro de um cenário de deterioração estrutural</w:t>
      </w:r>
      <w:r w:rsidR="00BA60BE" w:rsidRPr="00A42604">
        <w:rPr>
          <w:rFonts w:ascii="Gill Sans MT" w:hAnsi="Gill Sans MT" w:cs="Times New Roman"/>
          <w:sz w:val="24"/>
          <w:szCs w:val="24"/>
        </w:rPr>
        <w:t>.</w:t>
      </w:r>
    </w:p>
    <w:p w14:paraId="5CE8454B" w14:textId="60FBEB9E" w:rsidR="003E2C66" w:rsidRDefault="003E2C66" w:rsidP="00B70856">
      <w:pPr>
        <w:pStyle w:val="PargrafodaLista"/>
        <w:spacing w:line="360" w:lineRule="auto"/>
        <w:ind w:left="0" w:firstLine="1134"/>
        <w:jc w:val="both"/>
        <w:rPr>
          <w:rFonts w:ascii="Gill Sans MT" w:hAnsi="Gill Sans MT" w:cs="Times New Roman"/>
          <w:sz w:val="24"/>
          <w:szCs w:val="24"/>
        </w:rPr>
      </w:pPr>
      <w:r>
        <w:rPr>
          <w:rFonts w:ascii="Gill Sans MT" w:hAnsi="Gill Sans MT" w:cs="Times New Roman"/>
          <w:sz w:val="24"/>
          <w:szCs w:val="24"/>
        </w:rPr>
        <w:t>A aguda situação, que levou a falta de disponibilidade financeira para honrar seus débitos diários foi o ápice de um histórico modelo de gestão pública baseado em geração de déficits sucessivos, agravado agora pela absoluta falta de fo</w:t>
      </w:r>
      <w:r w:rsidR="00ED18A8">
        <w:rPr>
          <w:rFonts w:ascii="Gill Sans MT" w:hAnsi="Gill Sans MT" w:cs="Times New Roman"/>
          <w:sz w:val="24"/>
          <w:szCs w:val="24"/>
        </w:rPr>
        <w:t>ntes</w:t>
      </w:r>
      <w:r>
        <w:rPr>
          <w:rFonts w:ascii="Gill Sans MT" w:hAnsi="Gill Sans MT" w:cs="Times New Roman"/>
          <w:sz w:val="24"/>
          <w:szCs w:val="24"/>
        </w:rPr>
        <w:t xml:space="preserve"> de financiamento desses déficits, haja vista o esgotamento das ferramentas utilizadas até então, como o uso de recursos de terceiros</w:t>
      </w:r>
      <w:r w:rsidR="00ED18A8">
        <w:rPr>
          <w:rFonts w:ascii="Gill Sans MT" w:hAnsi="Gill Sans MT" w:cs="Times New Roman"/>
          <w:sz w:val="24"/>
          <w:szCs w:val="24"/>
        </w:rPr>
        <w:t xml:space="preserve">, como os </w:t>
      </w:r>
      <w:r>
        <w:rPr>
          <w:rFonts w:ascii="Gill Sans MT" w:hAnsi="Gill Sans MT" w:cs="Times New Roman"/>
          <w:sz w:val="24"/>
          <w:szCs w:val="24"/>
        </w:rPr>
        <w:t>depósitos judiciais.</w:t>
      </w:r>
    </w:p>
    <w:p w14:paraId="6EA4A3C7" w14:textId="464C3623" w:rsidR="003E2C66" w:rsidRPr="00A42604" w:rsidRDefault="003E2C66" w:rsidP="003E2C66">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O</w:t>
      </w:r>
      <w:r w:rsidR="00ED18A8">
        <w:rPr>
          <w:rFonts w:ascii="Gill Sans MT" w:hAnsi="Gill Sans MT" w:cs="Times New Roman"/>
          <w:sz w:val="24"/>
          <w:szCs w:val="24"/>
        </w:rPr>
        <w:t>s c</w:t>
      </w:r>
      <w:r w:rsidRPr="00A42604">
        <w:rPr>
          <w:rFonts w:ascii="Gill Sans MT" w:hAnsi="Gill Sans MT" w:cs="Times New Roman"/>
          <w:sz w:val="24"/>
          <w:szCs w:val="24"/>
        </w:rPr>
        <w:t>ondiciona</w:t>
      </w:r>
      <w:r w:rsidR="00ED18A8">
        <w:rPr>
          <w:rFonts w:ascii="Gill Sans MT" w:hAnsi="Gill Sans MT" w:cs="Times New Roman"/>
          <w:sz w:val="24"/>
          <w:szCs w:val="24"/>
        </w:rPr>
        <w:t>ntes do</w:t>
      </w:r>
      <w:r w:rsidRPr="00A42604">
        <w:rPr>
          <w:rFonts w:ascii="Gill Sans MT" w:hAnsi="Gill Sans MT" w:cs="Times New Roman"/>
          <w:sz w:val="24"/>
          <w:szCs w:val="24"/>
        </w:rPr>
        <w:t xml:space="preserve"> comportamento das receitas e despesas públicas ao longo do tempo, que como visto tem gerado expressivos resultados negativos, e quais os possíveis caminhos de saída para o estado do Rio Grande do Sul serão os pontos levantados nesse </w:t>
      </w:r>
      <w:r w:rsidRPr="00A42604">
        <w:rPr>
          <w:rFonts w:ascii="Gill Sans MT" w:hAnsi="Gill Sans MT" w:cs="Times New Roman"/>
          <w:i/>
          <w:sz w:val="24"/>
          <w:szCs w:val="24"/>
        </w:rPr>
        <w:t>paper</w:t>
      </w:r>
      <w:r w:rsidRPr="00A42604">
        <w:rPr>
          <w:rFonts w:ascii="Gill Sans MT" w:hAnsi="Gill Sans MT" w:cs="Times New Roman"/>
          <w:sz w:val="24"/>
          <w:szCs w:val="24"/>
        </w:rPr>
        <w:t xml:space="preserve">. Para isso, faremos uma análise das receitas públicas ao longo do tempo, sua evolução e </w:t>
      </w:r>
      <w:r w:rsidRPr="00A42604">
        <w:rPr>
          <w:rFonts w:ascii="Gill Sans MT" w:hAnsi="Gill Sans MT" w:cs="Times New Roman"/>
          <w:sz w:val="24"/>
          <w:szCs w:val="24"/>
        </w:rPr>
        <w:lastRenderedPageBreak/>
        <w:t xml:space="preserve">principais condicionantes; posteriormente será analisada a despesa pública, sua evolução, distribuição e as contingências enfrentadas mais recentemente. Antes das considerações finais, encerramos com a apresentação de um possível indicador de sustentabilidade de curto e médio prazo, e possivelmente, como veremos, um indicador antecedente de “problemas de caixa” para os entes subnacionais. </w:t>
      </w:r>
    </w:p>
    <w:p w14:paraId="622B78D3" w14:textId="77777777" w:rsidR="0003116D" w:rsidRDefault="0003116D" w:rsidP="00B70856">
      <w:pPr>
        <w:pStyle w:val="PargrafodaLista"/>
        <w:spacing w:line="360" w:lineRule="auto"/>
        <w:ind w:left="0" w:firstLine="1134"/>
        <w:jc w:val="both"/>
        <w:rPr>
          <w:rFonts w:ascii="Gill Sans MT" w:hAnsi="Gill Sans MT" w:cs="Times New Roman"/>
          <w:sz w:val="24"/>
          <w:szCs w:val="24"/>
        </w:rPr>
      </w:pPr>
    </w:p>
    <w:p w14:paraId="38C73150" w14:textId="15160A6F" w:rsidR="0003116D" w:rsidRPr="0003116D" w:rsidRDefault="0003116D" w:rsidP="0003116D">
      <w:pPr>
        <w:pStyle w:val="PargrafodaLista"/>
        <w:numPr>
          <w:ilvl w:val="0"/>
          <w:numId w:val="3"/>
        </w:numPr>
        <w:spacing w:line="360" w:lineRule="auto"/>
        <w:ind w:left="0" w:firstLine="0"/>
        <w:rPr>
          <w:rFonts w:ascii="Gill Sans MT" w:hAnsi="Gill Sans MT" w:cs="Times New Roman"/>
          <w:b/>
          <w:sz w:val="24"/>
          <w:szCs w:val="24"/>
        </w:rPr>
      </w:pPr>
      <w:r w:rsidRPr="0003116D">
        <w:rPr>
          <w:rFonts w:ascii="Gill Sans MT" w:hAnsi="Gill Sans MT" w:cs="Times New Roman"/>
          <w:b/>
          <w:sz w:val="24"/>
          <w:szCs w:val="24"/>
        </w:rPr>
        <w:t>2. O histórico do financiamento dos déficits gaúchos</w:t>
      </w:r>
    </w:p>
    <w:p w14:paraId="1AFBA5CE" w14:textId="77777777" w:rsidR="00B70856" w:rsidRPr="00A42604" w:rsidRDefault="0091060C" w:rsidP="00B70856">
      <w:pPr>
        <w:pStyle w:val="PargrafodaLista"/>
        <w:spacing w:line="360" w:lineRule="auto"/>
        <w:ind w:left="0" w:firstLine="1134"/>
        <w:jc w:val="both"/>
        <w:rPr>
          <w:rFonts w:ascii="Gill Sans MT" w:hAnsi="Gill Sans MT" w:cs="Times New Roman"/>
          <w:sz w:val="24"/>
          <w:szCs w:val="24"/>
        </w:rPr>
      </w:pPr>
      <w:r w:rsidRPr="00A42604">
        <w:rPr>
          <w:rFonts w:ascii="Gill Sans MT" w:hAnsi="Gill Sans MT" w:cs="Times New Roman"/>
          <w:sz w:val="24"/>
          <w:szCs w:val="24"/>
        </w:rPr>
        <w:t xml:space="preserve">O financiamento dos déficits anuais sempre passou por algum tipo de engenharia financeira, como nos tempos de alta inflação em que o atraso no </w:t>
      </w:r>
      <w:r w:rsidR="00185F54" w:rsidRPr="00A42604">
        <w:rPr>
          <w:rFonts w:ascii="Gill Sans MT" w:hAnsi="Gill Sans MT" w:cs="Times New Roman"/>
          <w:sz w:val="24"/>
          <w:szCs w:val="24"/>
        </w:rPr>
        <w:t>pagamento</w:t>
      </w:r>
      <w:r w:rsidRPr="00A42604">
        <w:rPr>
          <w:rFonts w:ascii="Gill Sans MT" w:hAnsi="Gill Sans MT" w:cs="Times New Roman"/>
          <w:sz w:val="24"/>
          <w:szCs w:val="24"/>
        </w:rPr>
        <w:t xml:space="preserve"> das despesas gerava um considerável fluxo favorável para o estado,</w:t>
      </w:r>
      <w:r w:rsidR="002C70D8" w:rsidRPr="00A42604">
        <w:rPr>
          <w:rFonts w:ascii="Gill Sans MT" w:hAnsi="Gill Sans MT" w:cs="Times New Roman"/>
          <w:sz w:val="24"/>
          <w:szCs w:val="24"/>
        </w:rPr>
        <w:t xml:space="preserve"> </w:t>
      </w:r>
      <w:r w:rsidR="00185F54" w:rsidRPr="00A42604">
        <w:rPr>
          <w:rFonts w:ascii="Gill Sans MT" w:hAnsi="Gill Sans MT" w:cs="Times New Roman"/>
          <w:sz w:val="24"/>
          <w:szCs w:val="24"/>
        </w:rPr>
        <w:t>porém</w:t>
      </w:r>
      <w:r w:rsidRPr="00A42604">
        <w:rPr>
          <w:rFonts w:ascii="Gill Sans MT" w:hAnsi="Gill Sans MT" w:cs="Times New Roman"/>
          <w:sz w:val="24"/>
          <w:szCs w:val="24"/>
        </w:rPr>
        <w:t>, com o Plano Real e o fim da inflação galopante, os estados perderam as receitas inflacionárias. Logo após, a</w:t>
      </w:r>
      <w:r w:rsidR="00B70856" w:rsidRPr="00A42604">
        <w:rPr>
          <w:rFonts w:ascii="Gill Sans MT" w:hAnsi="Gill Sans MT" w:cs="Times New Roman"/>
          <w:sz w:val="24"/>
          <w:szCs w:val="24"/>
        </w:rPr>
        <w:t xml:space="preserve"> desoneração</w:t>
      </w:r>
      <w:r w:rsidRPr="00A42604">
        <w:rPr>
          <w:rFonts w:ascii="Gill Sans MT" w:hAnsi="Gill Sans MT" w:cs="Times New Roman"/>
          <w:sz w:val="24"/>
          <w:szCs w:val="24"/>
        </w:rPr>
        <w:t xml:space="preserve"> das exportações via Lei Kandir</w:t>
      </w:r>
      <w:r w:rsidRPr="00A42604">
        <w:rPr>
          <w:rFonts w:ascii="Gill Sans MT" w:hAnsi="Gill Sans MT"/>
          <w:sz w:val="24"/>
          <w:szCs w:val="24"/>
          <w:vertAlign w:val="superscript"/>
        </w:rPr>
        <w:footnoteReference w:id="1"/>
      </w:r>
      <w:r w:rsidRPr="00A42604">
        <w:rPr>
          <w:rFonts w:ascii="Gill Sans MT" w:hAnsi="Gill Sans MT" w:cs="Times New Roman"/>
          <w:sz w:val="24"/>
          <w:szCs w:val="24"/>
        </w:rPr>
        <w:t>, afet</w:t>
      </w:r>
      <w:r w:rsidR="00B70856" w:rsidRPr="00A42604">
        <w:rPr>
          <w:rFonts w:ascii="Gill Sans MT" w:hAnsi="Gill Sans MT" w:cs="Times New Roman"/>
          <w:sz w:val="24"/>
          <w:szCs w:val="24"/>
        </w:rPr>
        <w:t>ou</w:t>
      </w:r>
      <w:r w:rsidRPr="00A42604">
        <w:rPr>
          <w:rFonts w:ascii="Gill Sans MT" w:hAnsi="Gill Sans MT" w:cs="Times New Roman"/>
          <w:sz w:val="24"/>
          <w:szCs w:val="24"/>
        </w:rPr>
        <w:t xml:space="preserve"> as finanças públicas estaduais de modo </w:t>
      </w:r>
      <w:r w:rsidR="00EA3BFE" w:rsidRPr="00A42604">
        <w:rPr>
          <w:rFonts w:ascii="Gill Sans MT" w:hAnsi="Gill Sans MT" w:cs="Times New Roman"/>
          <w:sz w:val="24"/>
          <w:szCs w:val="24"/>
        </w:rPr>
        <w:t>brutal</w:t>
      </w:r>
      <w:r w:rsidRPr="00A42604">
        <w:rPr>
          <w:rFonts w:ascii="Gill Sans MT" w:hAnsi="Gill Sans MT" w:cs="Times New Roman"/>
          <w:sz w:val="24"/>
          <w:szCs w:val="24"/>
        </w:rPr>
        <w:t xml:space="preserve">. Após isso, a renegociação das dívidas estaduais com a União, gerou um passivo anual com vinculação de 13% da Receita </w:t>
      </w:r>
      <w:r w:rsidR="00B70856" w:rsidRPr="00A42604">
        <w:rPr>
          <w:rFonts w:ascii="Gill Sans MT" w:hAnsi="Gill Sans MT" w:cs="Times New Roman"/>
          <w:sz w:val="24"/>
          <w:szCs w:val="24"/>
        </w:rPr>
        <w:t>Líquida Real (RLR)</w:t>
      </w:r>
      <w:r w:rsidRPr="00A42604">
        <w:rPr>
          <w:rFonts w:ascii="Gill Sans MT" w:hAnsi="Gill Sans MT"/>
          <w:sz w:val="24"/>
          <w:szCs w:val="24"/>
          <w:vertAlign w:val="superscript"/>
        </w:rPr>
        <w:footnoteReference w:id="2"/>
      </w:r>
      <w:r w:rsidRPr="00A42604">
        <w:rPr>
          <w:rFonts w:ascii="Gill Sans MT" w:hAnsi="Gill Sans MT" w:cs="Times New Roman"/>
          <w:sz w:val="24"/>
          <w:szCs w:val="24"/>
        </w:rPr>
        <w:t xml:space="preserve">, e uma dívida que hoje chega a R$ </w:t>
      </w:r>
      <w:r w:rsidR="005E1D75" w:rsidRPr="00A42604">
        <w:rPr>
          <w:rFonts w:ascii="Gill Sans MT" w:hAnsi="Gill Sans MT" w:cs="Times New Roman"/>
          <w:sz w:val="24"/>
          <w:szCs w:val="24"/>
        </w:rPr>
        <w:t>60</w:t>
      </w:r>
      <w:r w:rsidRPr="00A42604">
        <w:rPr>
          <w:rFonts w:ascii="Gill Sans MT" w:hAnsi="Gill Sans MT" w:cs="Times New Roman"/>
          <w:sz w:val="24"/>
          <w:szCs w:val="24"/>
        </w:rPr>
        <w:t xml:space="preserve"> bilhões.</w:t>
      </w:r>
    </w:p>
    <w:p w14:paraId="43148ACE" w14:textId="11BFE507" w:rsidR="00B70856" w:rsidRPr="00A42604" w:rsidRDefault="00941E1F" w:rsidP="00B70856">
      <w:pPr>
        <w:pStyle w:val="PargrafodaLista"/>
        <w:spacing w:line="360" w:lineRule="auto"/>
        <w:ind w:left="0" w:firstLine="1134"/>
        <w:jc w:val="both"/>
        <w:rPr>
          <w:rFonts w:ascii="Gill Sans MT" w:hAnsi="Gill Sans MT" w:cs="Times New Roman"/>
          <w:sz w:val="24"/>
          <w:szCs w:val="24"/>
        </w:rPr>
      </w:pPr>
      <w:r w:rsidRPr="00A42604">
        <w:rPr>
          <w:rFonts w:ascii="Gill Sans MT" w:hAnsi="Gill Sans MT" w:cs="Times New Roman"/>
          <w:sz w:val="24"/>
          <w:szCs w:val="24"/>
        </w:rPr>
        <w:t>V</w:t>
      </w:r>
      <w:r w:rsidR="0091060C" w:rsidRPr="00A42604">
        <w:rPr>
          <w:rFonts w:ascii="Gill Sans MT" w:hAnsi="Gill Sans MT" w:cs="Times New Roman"/>
          <w:sz w:val="24"/>
          <w:szCs w:val="24"/>
        </w:rPr>
        <w:t xml:space="preserve">árias medidas foram tomadas ao longo do tempo para se tentar resolver a questão das sucessivas e crônicas deficiências financeiras. Tentou-se inicialmente a venda de patrimônio público, posteriormente, </w:t>
      </w:r>
      <w:r w:rsidR="00ED18A8">
        <w:rPr>
          <w:rFonts w:ascii="Gill Sans MT" w:hAnsi="Gill Sans MT" w:cs="Times New Roman"/>
          <w:sz w:val="24"/>
          <w:szCs w:val="24"/>
        </w:rPr>
        <w:t>tentou-se</w:t>
      </w:r>
      <w:r w:rsidR="00EA3BFE" w:rsidRPr="00A42604">
        <w:rPr>
          <w:rFonts w:ascii="Gill Sans MT" w:hAnsi="Gill Sans MT" w:cs="Times New Roman"/>
          <w:sz w:val="24"/>
          <w:szCs w:val="24"/>
        </w:rPr>
        <w:t xml:space="preserve"> </w:t>
      </w:r>
      <w:r w:rsidR="0091060C" w:rsidRPr="00A42604">
        <w:rPr>
          <w:rFonts w:ascii="Gill Sans MT" w:hAnsi="Gill Sans MT" w:cs="Times New Roman"/>
          <w:sz w:val="24"/>
          <w:szCs w:val="24"/>
        </w:rPr>
        <w:t>reduzir o tamanho da folha de pagamento de pessoal com o processo de pedido de desligamento voluntário (PDV), que não se mostrou muito efetivo. Elevações de tributos, tentativas de redução do tamanho do estado pelo lado da despesa, atração de novos investimentos via guerra fiscal e, recentemente, maior endividamento público e elevação de despesas correntes com o intuito de impulsionar via multiplicador keynesiano o crescimento econômico e consequentemente as receitas tribut</w:t>
      </w:r>
      <w:r w:rsidR="00857E46" w:rsidRPr="00A42604">
        <w:rPr>
          <w:rFonts w:ascii="Gill Sans MT" w:hAnsi="Gill Sans MT" w:cs="Times New Roman"/>
          <w:sz w:val="24"/>
          <w:szCs w:val="24"/>
        </w:rPr>
        <w:t>á</w:t>
      </w:r>
      <w:r w:rsidR="0091060C" w:rsidRPr="00A42604">
        <w:rPr>
          <w:rFonts w:ascii="Gill Sans MT" w:hAnsi="Gill Sans MT" w:cs="Times New Roman"/>
          <w:sz w:val="24"/>
          <w:szCs w:val="24"/>
        </w:rPr>
        <w:t xml:space="preserve">rias também foram </w:t>
      </w:r>
      <w:r w:rsidR="00857E46" w:rsidRPr="00A42604">
        <w:rPr>
          <w:rFonts w:ascii="Gill Sans MT" w:hAnsi="Gill Sans MT" w:cs="Times New Roman"/>
          <w:sz w:val="24"/>
          <w:szCs w:val="24"/>
        </w:rPr>
        <w:t>tentadas</w:t>
      </w:r>
      <w:r w:rsidR="0091060C" w:rsidRPr="00A42604">
        <w:rPr>
          <w:rFonts w:ascii="Gill Sans MT" w:hAnsi="Gill Sans MT" w:cs="Times New Roman"/>
          <w:sz w:val="24"/>
          <w:szCs w:val="24"/>
        </w:rPr>
        <w:t>, mas sem sucesso aparente.</w:t>
      </w:r>
    </w:p>
    <w:p w14:paraId="061DD8CE" w14:textId="5866D810" w:rsidR="0091060C" w:rsidRPr="00A42604" w:rsidRDefault="009104D6" w:rsidP="00B70856">
      <w:pPr>
        <w:pStyle w:val="PargrafodaLista"/>
        <w:spacing w:line="360" w:lineRule="auto"/>
        <w:ind w:left="0" w:firstLine="1134"/>
        <w:jc w:val="both"/>
        <w:rPr>
          <w:rFonts w:ascii="Gill Sans MT" w:hAnsi="Gill Sans MT" w:cs="Times New Roman"/>
          <w:sz w:val="24"/>
          <w:szCs w:val="24"/>
        </w:rPr>
      </w:pPr>
      <w:r w:rsidRPr="00A42604">
        <w:rPr>
          <w:rFonts w:ascii="Gill Sans MT" w:hAnsi="Gill Sans MT" w:cs="Times New Roman"/>
          <w:sz w:val="24"/>
          <w:szCs w:val="24"/>
        </w:rPr>
        <w:t xml:space="preserve">Como pode ser visto no </w:t>
      </w:r>
      <w:r w:rsidR="0008725F" w:rsidRPr="00A42604">
        <w:rPr>
          <w:rFonts w:ascii="Gill Sans MT" w:hAnsi="Gill Sans MT" w:cs="Times New Roman"/>
          <w:sz w:val="24"/>
          <w:szCs w:val="24"/>
        </w:rPr>
        <w:t>g</w:t>
      </w:r>
      <w:r w:rsidRPr="00A42604">
        <w:rPr>
          <w:rFonts w:ascii="Gill Sans MT" w:hAnsi="Gill Sans MT" w:cs="Times New Roman"/>
          <w:sz w:val="24"/>
          <w:szCs w:val="24"/>
        </w:rPr>
        <w:t>ráfico</w:t>
      </w:r>
      <w:r w:rsidR="002D6963" w:rsidRPr="00A42604">
        <w:rPr>
          <w:rFonts w:ascii="Gill Sans MT" w:hAnsi="Gill Sans MT" w:cs="Times New Roman"/>
          <w:sz w:val="24"/>
          <w:szCs w:val="24"/>
        </w:rPr>
        <w:t xml:space="preserve"> 1</w:t>
      </w:r>
      <w:r w:rsidR="006E7B92">
        <w:rPr>
          <w:rFonts w:ascii="Gill Sans MT" w:hAnsi="Gill Sans MT" w:cs="Times New Roman"/>
          <w:sz w:val="24"/>
          <w:szCs w:val="24"/>
        </w:rPr>
        <w:t xml:space="preserve"> </w:t>
      </w:r>
      <w:r w:rsidR="0091060C" w:rsidRPr="00A42604">
        <w:rPr>
          <w:rFonts w:ascii="Gill Sans MT" w:hAnsi="Gill Sans MT" w:cs="Times New Roman"/>
          <w:sz w:val="24"/>
          <w:szCs w:val="24"/>
        </w:rPr>
        <w:t>abaixo, que demonstra os resultados primário</w:t>
      </w:r>
      <w:r w:rsidR="006E7B92">
        <w:rPr>
          <w:rFonts w:ascii="Gill Sans MT" w:hAnsi="Gill Sans MT" w:cs="Times New Roman"/>
          <w:sz w:val="24"/>
          <w:szCs w:val="24"/>
        </w:rPr>
        <w:t>s</w:t>
      </w:r>
      <w:r w:rsidR="00882F55" w:rsidRPr="00A42604">
        <w:rPr>
          <w:rFonts w:ascii="Gill Sans MT" w:hAnsi="Gill Sans MT" w:cs="Times New Roman"/>
          <w:sz w:val="24"/>
          <w:szCs w:val="24"/>
        </w:rPr>
        <w:t xml:space="preserve"> em relação ao PIB </w:t>
      </w:r>
      <w:r w:rsidR="0091060C" w:rsidRPr="00A42604">
        <w:rPr>
          <w:rFonts w:ascii="Gill Sans MT" w:hAnsi="Gill Sans MT" w:cs="Times New Roman"/>
          <w:sz w:val="24"/>
          <w:szCs w:val="24"/>
        </w:rPr>
        <w:t xml:space="preserve">para o RS </w:t>
      </w:r>
      <w:r w:rsidR="005D0E74" w:rsidRPr="00A42604">
        <w:rPr>
          <w:rFonts w:ascii="Gill Sans MT" w:hAnsi="Gill Sans MT" w:cs="Times New Roman"/>
          <w:sz w:val="24"/>
          <w:szCs w:val="24"/>
        </w:rPr>
        <w:t>desde 1971</w:t>
      </w:r>
      <w:r w:rsidR="0091060C" w:rsidRPr="00A42604">
        <w:rPr>
          <w:rFonts w:ascii="Gill Sans MT" w:hAnsi="Gill Sans MT" w:cs="Times New Roman"/>
          <w:sz w:val="24"/>
          <w:szCs w:val="24"/>
        </w:rPr>
        <w:t xml:space="preserve">, apesar dos </w:t>
      </w:r>
      <w:r w:rsidR="0091060C" w:rsidRPr="00B1187A">
        <w:rPr>
          <w:rFonts w:ascii="Gill Sans MT" w:hAnsi="Gill Sans MT" w:cs="Times New Roman"/>
          <w:sz w:val="24"/>
          <w:szCs w:val="24"/>
        </w:rPr>
        <w:t xml:space="preserve">esforços </w:t>
      </w:r>
      <w:r w:rsidR="00B1187A" w:rsidRPr="00B1187A">
        <w:rPr>
          <w:rFonts w:ascii="Gill Sans MT" w:hAnsi="Gill Sans MT" w:cs="Times New Roman"/>
          <w:sz w:val="24"/>
          <w:szCs w:val="24"/>
        </w:rPr>
        <w:t>empregados pelos</w:t>
      </w:r>
      <w:r w:rsidR="0091060C" w:rsidRPr="00B1187A">
        <w:rPr>
          <w:rFonts w:ascii="Gill Sans MT" w:hAnsi="Gill Sans MT" w:cs="Times New Roman"/>
          <w:sz w:val="24"/>
          <w:szCs w:val="24"/>
        </w:rPr>
        <w:t xml:space="preserve"> </w:t>
      </w:r>
      <w:r w:rsidR="0091060C" w:rsidRPr="00A42604">
        <w:rPr>
          <w:rFonts w:ascii="Gill Sans MT" w:hAnsi="Gill Sans MT" w:cs="Times New Roman"/>
          <w:sz w:val="24"/>
          <w:szCs w:val="24"/>
        </w:rPr>
        <w:t xml:space="preserve">gestores, somente não houve déficits </w:t>
      </w:r>
      <w:r w:rsidR="005D0E74" w:rsidRPr="00A42604">
        <w:rPr>
          <w:rFonts w:ascii="Gill Sans MT" w:hAnsi="Gill Sans MT" w:cs="Times New Roman"/>
          <w:sz w:val="24"/>
          <w:szCs w:val="24"/>
        </w:rPr>
        <w:t>em alguns anos a partir</w:t>
      </w:r>
      <w:r w:rsidR="00B70856" w:rsidRPr="00A42604">
        <w:rPr>
          <w:rFonts w:ascii="Gill Sans MT" w:hAnsi="Gill Sans MT" w:cs="Times New Roman"/>
          <w:sz w:val="24"/>
          <w:szCs w:val="24"/>
        </w:rPr>
        <w:t xml:space="preserve"> da implementação da Lei de Responsabilidade Fiscal (Lei Complementar 101/2000)</w:t>
      </w:r>
      <w:r w:rsidR="0091060C" w:rsidRPr="00A42604">
        <w:rPr>
          <w:rFonts w:ascii="Gill Sans MT" w:hAnsi="Gill Sans MT" w:cs="Times New Roman"/>
          <w:sz w:val="24"/>
          <w:szCs w:val="24"/>
        </w:rPr>
        <w:t xml:space="preserve">. Em todos os demais anos, temos </w:t>
      </w:r>
      <w:r w:rsidR="0091060C" w:rsidRPr="00A42604">
        <w:rPr>
          <w:rFonts w:ascii="Gill Sans MT" w:hAnsi="Gill Sans MT" w:cs="Times New Roman"/>
          <w:sz w:val="24"/>
          <w:szCs w:val="24"/>
        </w:rPr>
        <w:lastRenderedPageBreak/>
        <w:t>resulta</w:t>
      </w:r>
      <w:r w:rsidR="00882F55" w:rsidRPr="00A42604">
        <w:rPr>
          <w:rFonts w:ascii="Gill Sans MT" w:hAnsi="Gill Sans MT" w:cs="Times New Roman"/>
          <w:sz w:val="24"/>
          <w:szCs w:val="24"/>
        </w:rPr>
        <w:t>dos negativos muito expressivos</w:t>
      </w:r>
      <w:r w:rsidR="0091060C" w:rsidRPr="00A42604">
        <w:rPr>
          <w:rFonts w:ascii="Gill Sans MT" w:hAnsi="Gill Sans MT" w:cs="Times New Roman"/>
          <w:sz w:val="24"/>
          <w:szCs w:val="24"/>
        </w:rPr>
        <w:t xml:space="preserve">. </w:t>
      </w:r>
      <w:r w:rsidR="005D0E74" w:rsidRPr="00A42604">
        <w:rPr>
          <w:rFonts w:ascii="Gill Sans MT" w:hAnsi="Gill Sans MT" w:cs="Times New Roman"/>
          <w:sz w:val="24"/>
          <w:szCs w:val="24"/>
        </w:rPr>
        <w:t>Recentemente</w:t>
      </w:r>
      <w:r w:rsidR="00A3505D" w:rsidRPr="00A42604">
        <w:rPr>
          <w:rFonts w:ascii="Gill Sans MT" w:hAnsi="Gill Sans MT" w:cs="Times New Roman"/>
          <w:sz w:val="24"/>
          <w:szCs w:val="24"/>
        </w:rPr>
        <w:t>,</w:t>
      </w:r>
      <w:r w:rsidR="005D0E74" w:rsidRPr="00A42604">
        <w:rPr>
          <w:rFonts w:ascii="Gill Sans MT" w:hAnsi="Gill Sans MT" w:cs="Times New Roman"/>
          <w:sz w:val="24"/>
          <w:szCs w:val="24"/>
        </w:rPr>
        <w:t xml:space="preserve"> </w:t>
      </w:r>
      <w:r w:rsidR="0091060C" w:rsidRPr="00A42604">
        <w:rPr>
          <w:rFonts w:ascii="Gill Sans MT" w:hAnsi="Gill Sans MT" w:cs="Times New Roman"/>
          <w:sz w:val="24"/>
          <w:szCs w:val="24"/>
        </w:rPr>
        <w:t>os resultados voltaram a ser negativos e crescentes, o que acabou gerando aumento da dívida pública</w:t>
      </w:r>
      <w:r w:rsidR="000257BB" w:rsidRPr="00A42604">
        <w:rPr>
          <w:rFonts w:ascii="Gill Sans MT" w:hAnsi="Gill Sans MT" w:cs="Times New Roman"/>
          <w:sz w:val="24"/>
          <w:szCs w:val="24"/>
        </w:rPr>
        <w:t xml:space="preserve"> e outros compromissos</w:t>
      </w:r>
      <w:r w:rsidR="0091060C" w:rsidRPr="00A42604">
        <w:rPr>
          <w:rFonts w:ascii="Gill Sans MT" w:hAnsi="Gill Sans MT" w:cs="Times New Roman"/>
          <w:sz w:val="24"/>
          <w:szCs w:val="24"/>
        </w:rPr>
        <w:t>.</w:t>
      </w:r>
    </w:p>
    <w:p w14:paraId="421313C1" w14:textId="49FEC8B3" w:rsidR="00BA60BE" w:rsidRPr="00A42604" w:rsidRDefault="009104D6" w:rsidP="00BA60BE">
      <w:pPr>
        <w:jc w:val="center"/>
        <w:rPr>
          <w:rFonts w:ascii="Gill Sans MT" w:hAnsi="Gill Sans MT" w:cs="Times New Roman"/>
          <w:b/>
          <w:sz w:val="24"/>
          <w:szCs w:val="24"/>
        </w:rPr>
      </w:pPr>
      <w:r w:rsidRPr="00A42604">
        <w:rPr>
          <w:rFonts w:ascii="Gill Sans MT" w:hAnsi="Gill Sans MT" w:cs="Times New Roman"/>
          <w:b/>
          <w:sz w:val="24"/>
          <w:szCs w:val="24"/>
        </w:rPr>
        <w:t>Gráfico</w:t>
      </w:r>
      <w:r w:rsidR="00882F55" w:rsidRPr="00A42604">
        <w:rPr>
          <w:rFonts w:ascii="Gill Sans MT" w:hAnsi="Gill Sans MT" w:cs="Times New Roman"/>
          <w:b/>
          <w:sz w:val="24"/>
          <w:szCs w:val="24"/>
        </w:rPr>
        <w:t xml:space="preserve"> </w:t>
      </w:r>
      <w:r w:rsidR="00C917AD" w:rsidRPr="00A42604">
        <w:rPr>
          <w:rFonts w:ascii="Gill Sans MT" w:hAnsi="Gill Sans MT" w:cs="Times New Roman"/>
          <w:b/>
          <w:sz w:val="24"/>
          <w:szCs w:val="24"/>
        </w:rPr>
        <w:t xml:space="preserve">1 - </w:t>
      </w:r>
      <w:r w:rsidR="00BA60BE" w:rsidRPr="00A42604">
        <w:rPr>
          <w:rFonts w:ascii="Gill Sans MT" w:hAnsi="Gill Sans MT" w:cs="Times New Roman"/>
          <w:b/>
          <w:sz w:val="24"/>
          <w:szCs w:val="24"/>
        </w:rPr>
        <w:t>Resultado Primário</w:t>
      </w:r>
      <w:r w:rsidR="00882F55" w:rsidRPr="00A42604">
        <w:rPr>
          <w:rFonts w:ascii="Gill Sans MT" w:hAnsi="Gill Sans MT" w:cs="Times New Roman"/>
          <w:b/>
          <w:sz w:val="24"/>
          <w:szCs w:val="24"/>
        </w:rPr>
        <w:t xml:space="preserve"> em relação ao PIB, em %</w:t>
      </w:r>
    </w:p>
    <w:p w14:paraId="78A391A7" w14:textId="4D36776B" w:rsidR="00740C73" w:rsidRPr="00A42604" w:rsidRDefault="002D6963" w:rsidP="00006A3F">
      <w:pPr>
        <w:rPr>
          <w:rFonts w:ascii="Gill Sans MT" w:hAnsi="Gill Sans MT" w:cs="Times New Roman"/>
          <w:sz w:val="16"/>
          <w:szCs w:val="16"/>
        </w:rPr>
      </w:pPr>
      <w:r w:rsidRPr="00A42604">
        <w:rPr>
          <w:noProof/>
          <w:lang w:eastAsia="pt-BR"/>
        </w:rPr>
        <w:drawing>
          <wp:inline distT="0" distB="0" distL="0" distR="0" wp14:anchorId="478CB31B" wp14:editId="4BC47A9F">
            <wp:extent cx="5884545" cy="2857500"/>
            <wp:effectExtent l="0" t="0" r="190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6C7C5A" w:rsidRPr="00A42604">
        <w:rPr>
          <w:rFonts w:ascii="Gill Sans MT" w:hAnsi="Gill Sans MT" w:cs="Times New Roman"/>
          <w:sz w:val="16"/>
          <w:szCs w:val="16"/>
        </w:rPr>
        <w:t>Fonte: SEFAZ RS e FEE</w:t>
      </w:r>
      <w:r w:rsidR="00AE1630" w:rsidRPr="00A42604">
        <w:rPr>
          <w:rFonts w:ascii="Gill Sans MT" w:hAnsi="Gill Sans MT" w:cs="Times New Roman"/>
          <w:sz w:val="16"/>
          <w:szCs w:val="16"/>
        </w:rPr>
        <w:t xml:space="preserve"> e PLOA 2016</w:t>
      </w:r>
      <w:r w:rsidR="006C7C5A" w:rsidRPr="00A42604">
        <w:rPr>
          <w:rFonts w:ascii="Gill Sans MT" w:hAnsi="Gill Sans MT" w:cs="Times New Roman"/>
          <w:sz w:val="16"/>
          <w:szCs w:val="16"/>
        </w:rPr>
        <w:t>.</w:t>
      </w:r>
      <w:r w:rsidR="005E1D75" w:rsidRPr="00A42604">
        <w:rPr>
          <w:rFonts w:ascii="Gill Sans MT" w:hAnsi="Gill Sans MT" w:cs="Times New Roman"/>
          <w:sz w:val="16"/>
          <w:szCs w:val="16"/>
        </w:rPr>
        <w:t xml:space="preserve"> </w:t>
      </w:r>
      <w:r w:rsidR="00740C73" w:rsidRPr="00A42604">
        <w:rPr>
          <w:rFonts w:ascii="Gill Sans MT" w:hAnsi="Gill Sans MT" w:cs="Times New Roman"/>
          <w:sz w:val="16"/>
          <w:szCs w:val="16"/>
        </w:rPr>
        <w:t>Nota: Valores de 2015 são correntes. P</w:t>
      </w:r>
      <w:r w:rsidR="005E1D75" w:rsidRPr="00A42604">
        <w:rPr>
          <w:rFonts w:ascii="Gill Sans MT" w:hAnsi="Gill Sans MT" w:cs="Times New Roman"/>
          <w:sz w:val="16"/>
          <w:szCs w:val="16"/>
        </w:rPr>
        <w:t>IB</w:t>
      </w:r>
      <w:r w:rsidR="00740C73" w:rsidRPr="00A42604">
        <w:rPr>
          <w:rFonts w:ascii="Gill Sans MT" w:hAnsi="Gill Sans MT" w:cs="Times New Roman"/>
          <w:sz w:val="16"/>
          <w:szCs w:val="16"/>
        </w:rPr>
        <w:t xml:space="preserve"> de 2014 e 2015 são estimativas da FEE.</w:t>
      </w:r>
    </w:p>
    <w:p w14:paraId="3617B2BF" w14:textId="77777777" w:rsidR="00E86346" w:rsidRPr="00A42604" w:rsidRDefault="00E86346" w:rsidP="00740C73">
      <w:pPr>
        <w:spacing w:line="240" w:lineRule="auto"/>
        <w:rPr>
          <w:rFonts w:ascii="Gill Sans MT" w:hAnsi="Gill Sans MT" w:cs="Times New Roman"/>
          <w:sz w:val="16"/>
          <w:szCs w:val="16"/>
        </w:rPr>
      </w:pPr>
    </w:p>
    <w:p w14:paraId="463125A0" w14:textId="77777777" w:rsidR="00446896" w:rsidRPr="00A42604" w:rsidRDefault="0015001A" w:rsidP="00740C73">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Pelos dados </w:t>
      </w:r>
      <w:r w:rsidR="000257BB" w:rsidRPr="00A42604">
        <w:rPr>
          <w:rFonts w:ascii="Gill Sans MT" w:hAnsi="Gill Sans MT" w:cs="Times New Roman"/>
          <w:sz w:val="24"/>
          <w:szCs w:val="24"/>
        </w:rPr>
        <w:t>apresentados</w:t>
      </w:r>
      <w:r w:rsidRPr="00A42604">
        <w:rPr>
          <w:rFonts w:ascii="Gill Sans MT" w:hAnsi="Gill Sans MT" w:cs="Times New Roman"/>
          <w:sz w:val="24"/>
          <w:szCs w:val="24"/>
        </w:rPr>
        <w:t>, pode-se observar que os programas de ajuste fiscal implementados pela união entre 1997-1998, bem como a implantação da L</w:t>
      </w:r>
      <w:r w:rsidR="00740C73" w:rsidRPr="00A42604">
        <w:rPr>
          <w:rFonts w:ascii="Gill Sans MT" w:hAnsi="Gill Sans MT" w:cs="Times New Roman"/>
          <w:sz w:val="24"/>
          <w:szCs w:val="24"/>
        </w:rPr>
        <w:t xml:space="preserve">RF </w:t>
      </w:r>
      <w:r w:rsidRPr="00A42604">
        <w:rPr>
          <w:rFonts w:ascii="Gill Sans MT" w:hAnsi="Gill Sans MT" w:cs="Times New Roman"/>
          <w:sz w:val="24"/>
          <w:szCs w:val="24"/>
        </w:rPr>
        <w:t xml:space="preserve">produziram </w:t>
      </w:r>
      <w:r w:rsidR="00E86346" w:rsidRPr="00A42604">
        <w:rPr>
          <w:rFonts w:ascii="Gill Sans MT" w:hAnsi="Gill Sans MT" w:cs="Times New Roman"/>
          <w:sz w:val="24"/>
          <w:szCs w:val="24"/>
        </w:rPr>
        <w:t>alguns efeitos</w:t>
      </w:r>
      <w:r w:rsidRPr="00A42604">
        <w:rPr>
          <w:rFonts w:ascii="Gill Sans MT" w:hAnsi="Gill Sans MT" w:cs="Times New Roman"/>
          <w:sz w:val="24"/>
          <w:szCs w:val="24"/>
        </w:rPr>
        <w:t xml:space="preserve"> satisfatório</w:t>
      </w:r>
      <w:r w:rsidR="00E86346" w:rsidRPr="00A42604">
        <w:rPr>
          <w:rFonts w:ascii="Gill Sans MT" w:hAnsi="Gill Sans MT" w:cs="Times New Roman"/>
          <w:sz w:val="24"/>
          <w:szCs w:val="24"/>
        </w:rPr>
        <w:t>s</w:t>
      </w:r>
      <w:r w:rsidRPr="00A42604">
        <w:rPr>
          <w:rFonts w:ascii="Gill Sans MT" w:hAnsi="Gill Sans MT" w:cs="Times New Roman"/>
          <w:sz w:val="24"/>
          <w:szCs w:val="24"/>
        </w:rPr>
        <w:t>, com os resultados saindo de um campo de -2% de primário sobre o PIB do estado em 1998 para resultados positivos já a partir de 2005. Entretant</w:t>
      </w:r>
      <w:r w:rsidR="00E86346" w:rsidRPr="00A42604">
        <w:rPr>
          <w:rFonts w:ascii="Gill Sans MT" w:hAnsi="Gill Sans MT" w:cs="Times New Roman"/>
          <w:sz w:val="24"/>
          <w:szCs w:val="24"/>
        </w:rPr>
        <w:t>o, recentemente os resultados tê</w:t>
      </w:r>
      <w:r w:rsidRPr="00A42604">
        <w:rPr>
          <w:rFonts w:ascii="Gill Sans MT" w:hAnsi="Gill Sans MT" w:cs="Times New Roman"/>
          <w:sz w:val="24"/>
          <w:szCs w:val="24"/>
        </w:rPr>
        <w:t>m se deteriorado, com o resultado primário em relação ao PIB voltando a ser negativo depois de 10 anos</w:t>
      </w:r>
      <w:r w:rsidR="00E86346" w:rsidRPr="00A42604">
        <w:rPr>
          <w:rFonts w:ascii="Gill Sans MT" w:hAnsi="Gill Sans MT" w:cs="Times New Roman"/>
          <w:sz w:val="24"/>
          <w:szCs w:val="24"/>
        </w:rPr>
        <w:t>.</w:t>
      </w:r>
    </w:p>
    <w:p w14:paraId="667D359A" w14:textId="00ADC79D" w:rsidR="00AB16D3" w:rsidRPr="00A42604" w:rsidRDefault="00AB16D3" w:rsidP="00740C73">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Os péssimos resultados gaúchos não são isolados da economia nacional. Como pode-se observar n</w:t>
      </w:r>
      <w:r w:rsidR="009104D6" w:rsidRPr="00A42604">
        <w:rPr>
          <w:rFonts w:ascii="Gill Sans MT" w:hAnsi="Gill Sans MT" w:cs="Times New Roman"/>
          <w:sz w:val="24"/>
          <w:szCs w:val="24"/>
        </w:rPr>
        <w:t>a figura 1</w:t>
      </w:r>
      <w:r w:rsidRPr="00A42604">
        <w:rPr>
          <w:rFonts w:ascii="Gill Sans MT" w:hAnsi="Gill Sans MT" w:cs="Times New Roman"/>
          <w:sz w:val="24"/>
          <w:szCs w:val="24"/>
        </w:rPr>
        <w:t xml:space="preserve"> abaixo que mostra o resultado primário agregado dos governos estaduais desde 2000, houve uma </w:t>
      </w:r>
      <w:r w:rsidR="00BC4482" w:rsidRPr="00A42604">
        <w:rPr>
          <w:rFonts w:ascii="Gill Sans MT" w:hAnsi="Gill Sans MT" w:cs="Times New Roman"/>
          <w:sz w:val="24"/>
          <w:szCs w:val="24"/>
        </w:rPr>
        <w:t>deterioração</w:t>
      </w:r>
      <w:r w:rsidRPr="00A42604">
        <w:rPr>
          <w:rFonts w:ascii="Gill Sans MT" w:hAnsi="Gill Sans MT" w:cs="Times New Roman"/>
          <w:sz w:val="24"/>
          <w:szCs w:val="24"/>
        </w:rPr>
        <w:t xml:space="preserve"> geral nas condições </w:t>
      </w:r>
      <w:r w:rsidR="00BC4482" w:rsidRPr="00A42604">
        <w:rPr>
          <w:rFonts w:ascii="Gill Sans MT" w:hAnsi="Gill Sans MT" w:cs="Times New Roman"/>
          <w:sz w:val="24"/>
          <w:szCs w:val="24"/>
        </w:rPr>
        <w:t>deste indicador, com quedas bastante acentuadas em especial a partir da crise financeira mundial com início em 2008, quando o governo</w:t>
      </w:r>
      <w:r w:rsidR="00E86346" w:rsidRPr="00A42604">
        <w:rPr>
          <w:rFonts w:ascii="Gill Sans MT" w:hAnsi="Gill Sans MT" w:cs="Times New Roman"/>
          <w:sz w:val="24"/>
          <w:szCs w:val="24"/>
        </w:rPr>
        <w:t xml:space="preserve"> federal começou a fazer uso de</w:t>
      </w:r>
      <w:r w:rsidR="00BC4482" w:rsidRPr="00A42604">
        <w:rPr>
          <w:rFonts w:ascii="Gill Sans MT" w:hAnsi="Gill Sans MT" w:cs="Times New Roman"/>
          <w:sz w:val="24"/>
          <w:szCs w:val="24"/>
        </w:rPr>
        <w:t xml:space="preserve"> instrumentos </w:t>
      </w:r>
      <w:r w:rsidR="00303AFA" w:rsidRPr="00A42604">
        <w:rPr>
          <w:rFonts w:ascii="Gill Sans MT" w:hAnsi="Gill Sans MT" w:cs="Times New Roman"/>
          <w:sz w:val="24"/>
          <w:szCs w:val="24"/>
        </w:rPr>
        <w:t>contábeis</w:t>
      </w:r>
      <w:r w:rsidR="00BC4482" w:rsidRPr="00A42604">
        <w:rPr>
          <w:rFonts w:ascii="Gill Sans MT" w:hAnsi="Gill Sans MT" w:cs="Times New Roman"/>
          <w:sz w:val="24"/>
          <w:szCs w:val="24"/>
        </w:rPr>
        <w:t xml:space="preserve">, econômicos e financeiros </w:t>
      </w:r>
      <w:r w:rsidR="00AE1630" w:rsidRPr="00A42604">
        <w:rPr>
          <w:rFonts w:ascii="Gill Sans MT" w:hAnsi="Gill Sans MT" w:cs="Times New Roman"/>
          <w:sz w:val="24"/>
          <w:szCs w:val="24"/>
        </w:rPr>
        <w:t>pouco transparentes</w:t>
      </w:r>
      <w:r w:rsidR="00BC4482" w:rsidRPr="00A42604">
        <w:rPr>
          <w:rFonts w:ascii="Gill Sans MT" w:hAnsi="Gill Sans MT" w:cs="Times New Roman"/>
          <w:sz w:val="24"/>
          <w:szCs w:val="24"/>
        </w:rPr>
        <w:t>, facilitando o endividamento dos entes subnacionais</w:t>
      </w:r>
      <w:r w:rsidR="00303AFA" w:rsidRPr="00A42604">
        <w:rPr>
          <w:rFonts w:ascii="Gill Sans MT" w:hAnsi="Gill Sans MT" w:cs="Times New Roman"/>
          <w:sz w:val="24"/>
          <w:szCs w:val="24"/>
        </w:rPr>
        <w:t xml:space="preserve">, e </w:t>
      </w:r>
      <w:r w:rsidR="00BC4482" w:rsidRPr="00A42604">
        <w:rPr>
          <w:rFonts w:ascii="Gill Sans MT" w:hAnsi="Gill Sans MT" w:cs="Times New Roman"/>
          <w:sz w:val="24"/>
          <w:szCs w:val="24"/>
        </w:rPr>
        <w:t xml:space="preserve">através de </w:t>
      </w:r>
      <w:r w:rsidR="00303AFA" w:rsidRPr="00A42604">
        <w:rPr>
          <w:rFonts w:ascii="Gill Sans MT" w:hAnsi="Gill Sans MT" w:cs="Times New Roman"/>
          <w:sz w:val="24"/>
          <w:szCs w:val="24"/>
        </w:rPr>
        <w:t>políticas</w:t>
      </w:r>
      <w:r w:rsidR="00BC4482" w:rsidRPr="00A42604">
        <w:rPr>
          <w:rFonts w:ascii="Gill Sans MT" w:hAnsi="Gill Sans MT" w:cs="Times New Roman"/>
          <w:sz w:val="24"/>
          <w:szCs w:val="24"/>
        </w:rPr>
        <w:t xml:space="preserve"> de </w:t>
      </w:r>
      <w:r w:rsidR="00303AFA" w:rsidRPr="00A42604">
        <w:rPr>
          <w:rFonts w:ascii="Gill Sans MT" w:hAnsi="Gill Sans MT" w:cs="Times New Roman"/>
          <w:sz w:val="24"/>
          <w:szCs w:val="24"/>
        </w:rPr>
        <w:t>crédito</w:t>
      </w:r>
      <w:r w:rsidR="00BC4482" w:rsidRPr="00A42604">
        <w:rPr>
          <w:rFonts w:ascii="Gill Sans MT" w:hAnsi="Gill Sans MT" w:cs="Times New Roman"/>
          <w:sz w:val="24"/>
          <w:szCs w:val="24"/>
        </w:rPr>
        <w:t xml:space="preserve"> subsidiado </w:t>
      </w:r>
      <w:r w:rsidR="006A6169" w:rsidRPr="00A42604">
        <w:rPr>
          <w:rFonts w:ascii="Gill Sans MT" w:hAnsi="Gill Sans MT" w:cs="Times New Roman"/>
          <w:sz w:val="24"/>
          <w:szCs w:val="24"/>
        </w:rPr>
        <w:t>absorve</w:t>
      </w:r>
      <w:r w:rsidR="00AE1630" w:rsidRPr="00A42604">
        <w:rPr>
          <w:rFonts w:ascii="Gill Sans MT" w:hAnsi="Gill Sans MT" w:cs="Times New Roman"/>
          <w:sz w:val="24"/>
          <w:szCs w:val="24"/>
        </w:rPr>
        <w:t>ndo</w:t>
      </w:r>
      <w:r w:rsidR="006A6169" w:rsidRPr="00A42604">
        <w:rPr>
          <w:rFonts w:ascii="Gill Sans MT" w:hAnsi="Gill Sans MT" w:cs="Times New Roman"/>
          <w:sz w:val="24"/>
          <w:szCs w:val="24"/>
        </w:rPr>
        <w:t xml:space="preserve"> a maior parte d</w:t>
      </w:r>
      <w:r w:rsidR="00BC4482" w:rsidRPr="00A42604">
        <w:rPr>
          <w:rFonts w:ascii="Gill Sans MT" w:hAnsi="Gill Sans MT" w:cs="Times New Roman"/>
          <w:sz w:val="24"/>
          <w:szCs w:val="24"/>
        </w:rPr>
        <w:t>a poupança nacional</w:t>
      </w:r>
      <w:r w:rsidR="00303AFA" w:rsidRPr="00A42604">
        <w:rPr>
          <w:rFonts w:ascii="Gill Sans MT" w:hAnsi="Gill Sans MT" w:cs="Times New Roman"/>
          <w:sz w:val="24"/>
          <w:szCs w:val="24"/>
        </w:rPr>
        <w:t>, o que mais tarde ficou conhecido como a Nova Matriz Econômica</w:t>
      </w:r>
      <w:r w:rsidR="00723AB1" w:rsidRPr="00A42604">
        <w:rPr>
          <w:rStyle w:val="Refdenotaderodap"/>
          <w:rFonts w:ascii="Gill Sans MT" w:hAnsi="Gill Sans MT" w:cs="Times New Roman"/>
          <w:sz w:val="24"/>
          <w:szCs w:val="24"/>
        </w:rPr>
        <w:footnoteReference w:id="3"/>
      </w:r>
      <w:r w:rsidR="00303AFA" w:rsidRPr="00A42604">
        <w:rPr>
          <w:rFonts w:ascii="Gill Sans MT" w:hAnsi="Gill Sans MT" w:cs="Times New Roman"/>
          <w:sz w:val="24"/>
          <w:szCs w:val="24"/>
        </w:rPr>
        <w:t>.</w:t>
      </w:r>
    </w:p>
    <w:p w14:paraId="6C7E43E9" w14:textId="77777777" w:rsidR="00E86346" w:rsidRPr="00A42604" w:rsidRDefault="00E86346" w:rsidP="00E86346">
      <w:pPr>
        <w:spacing w:line="240" w:lineRule="auto"/>
        <w:ind w:firstLine="1134"/>
        <w:jc w:val="both"/>
        <w:rPr>
          <w:rFonts w:ascii="Gill Sans MT" w:hAnsi="Gill Sans MT" w:cs="Times New Roman"/>
          <w:sz w:val="24"/>
          <w:szCs w:val="24"/>
        </w:rPr>
      </w:pPr>
    </w:p>
    <w:p w14:paraId="43004239" w14:textId="4977F696" w:rsidR="00B713E8" w:rsidRPr="00A42604" w:rsidRDefault="009104D6" w:rsidP="00740C73">
      <w:pPr>
        <w:ind w:left="1134" w:right="1132"/>
        <w:jc w:val="center"/>
        <w:rPr>
          <w:rFonts w:ascii="Gill Sans MT" w:hAnsi="Gill Sans MT" w:cs="Times New Roman"/>
          <w:b/>
          <w:sz w:val="24"/>
          <w:szCs w:val="24"/>
        </w:rPr>
      </w:pPr>
      <w:r w:rsidRPr="00A42604">
        <w:rPr>
          <w:rFonts w:ascii="Gill Sans MT" w:hAnsi="Gill Sans MT" w:cs="Times New Roman"/>
          <w:b/>
          <w:sz w:val="24"/>
          <w:szCs w:val="24"/>
        </w:rPr>
        <w:t>Figura</w:t>
      </w:r>
      <w:r w:rsidR="00303AFA" w:rsidRPr="00A42604">
        <w:rPr>
          <w:rFonts w:ascii="Gill Sans MT" w:hAnsi="Gill Sans MT" w:cs="Times New Roman"/>
          <w:b/>
          <w:sz w:val="24"/>
          <w:szCs w:val="24"/>
        </w:rPr>
        <w:t xml:space="preserve"> </w:t>
      </w:r>
      <w:r w:rsidRPr="00A42604">
        <w:rPr>
          <w:rFonts w:ascii="Gill Sans MT" w:hAnsi="Gill Sans MT" w:cs="Times New Roman"/>
          <w:b/>
          <w:sz w:val="24"/>
          <w:szCs w:val="24"/>
        </w:rPr>
        <w:t>1</w:t>
      </w:r>
      <w:r w:rsidR="00303AFA" w:rsidRPr="00A42604">
        <w:rPr>
          <w:rFonts w:ascii="Gill Sans MT" w:hAnsi="Gill Sans MT" w:cs="Times New Roman"/>
          <w:b/>
          <w:sz w:val="24"/>
          <w:szCs w:val="24"/>
        </w:rPr>
        <w:t>: Resultado Primário dos Governos Estaduais acumulado em 12 meses, em % PIB</w:t>
      </w:r>
    </w:p>
    <w:p w14:paraId="51914690" w14:textId="1E802E48" w:rsidR="00567495" w:rsidRPr="00A42604" w:rsidRDefault="00567495" w:rsidP="00740C73">
      <w:pPr>
        <w:ind w:left="1134" w:right="1132"/>
        <w:jc w:val="center"/>
        <w:rPr>
          <w:rFonts w:ascii="Gill Sans MT" w:hAnsi="Gill Sans MT" w:cs="Times New Roman"/>
          <w:b/>
          <w:sz w:val="24"/>
          <w:szCs w:val="24"/>
        </w:rPr>
      </w:pPr>
      <w:r w:rsidRPr="00A42604">
        <w:rPr>
          <w:rFonts w:ascii="Gill Sans MT" w:hAnsi="Gill Sans MT" w:cs="Times New Roman"/>
          <w:b/>
          <w:noProof/>
          <w:sz w:val="24"/>
          <w:szCs w:val="24"/>
          <w:lang w:eastAsia="pt-BR"/>
        </w:rPr>
        <w:drawing>
          <wp:inline distT="0" distB="0" distL="0" distR="0" wp14:anchorId="67F52ECC" wp14:editId="6F876BAF">
            <wp:extent cx="4736123" cy="2532098"/>
            <wp:effectExtent l="0" t="0" r="7620" b="190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9799" cy="2534063"/>
                    </a:xfrm>
                    <a:prstGeom prst="rect">
                      <a:avLst/>
                    </a:prstGeom>
                    <a:noFill/>
                    <a:ln>
                      <a:noFill/>
                    </a:ln>
                  </pic:spPr>
                </pic:pic>
              </a:graphicData>
            </a:graphic>
          </wp:inline>
        </w:drawing>
      </w:r>
    </w:p>
    <w:p w14:paraId="26EC86B5" w14:textId="77777777" w:rsidR="00B713E8" w:rsidRPr="00A42604" w:rsidRDefault="00AB16D3" w:rsidP="00567495">
      <w:pPr>
        <w:spacing w:line="240" w:lineRule="auto"/>
        <w:ind w:firstLine="1276"/>
        <w:jc w:val="both"/>
        <w:rPr>
          <w:rFonts w:ascii="Gill Sans MT" w:hAnsi="Gill Sans MT" w:cs="Times New Roman"/>
          <w:sz w:val="14"/>
          <w:szCs w:val="16"/>
        </w:rPr>
      </w:pPr>
      <w:r w:rsidRPr="00A42604">
        <w:rPr>
          <w:rFonts w:ascii="Gill Sans MT" w:hAnsi="Gill Sans MT" w:cs="Times New Roman"/>
          <w:sz w:val="14"/>
          <w:szCs w:val="16"/>
        </w:rPr>
        <w:t>Fonte: Maciel (2015)</w:t>
      </w:r>
    </w:p>
    <w:p w14:paraId="393B11CF" w14:textId="77777777" w:rsidR="00567495" w:rsidRPr="00A42604" w:rsidRDefault="00567495" w:rsidP="00567495">
      <w:pPr>
        <w:spacing w:line="240" w:lineRule="auto"/>
        <w:ind w:firstLine="1134"/>
        <w:jc w:val="both"/>
        <w:rPr>
          <w:rFonts w:ascii="Gill Sans MT" w:hAnsi="Gill Sans MT" w:cs="Times New Roman"/>
          <w:sz w:val="24"/>
          <w:szCs w:val="24"/>
        </w:rPr>
      </w:pPr>
    </w:p>
    <w:p w14:paraId="166B234C" w14:textId="59597CA7" w:rsidR="00CE3A42" w:rsidRDefault="0003116D" w:rsidP="00BA45F7">
      <w:pPr>
        <w:spacing w:line="360" w:lineRule="auto"/>
        <w:ind w:firstLine="1134"/>
        <w:jc w:val="both"/>
        <w:rPr>
          <w:rFonts w:ascii="Gill Sans MT" w:hAnsi="Gill Sans MT" w:cs="Times New Roman"/>
          <w:sz w:val="24"/>
          <w:szCs w:val="24"/>
        </w:rPr>
      </w:pPr>
      <w:r>
        <w:rPr>
          <w:rFonts w:ascii="Gill Sans MT" w:hAnsi="Gill Sans MT" w:cs="Times New Roman"/>
          <w:sz w:val="24"/>
          <w:szCs w:val="24"/>
        </w:rPr>
        <w:t>Nas próximas seções, avaliamos a evolução recente das receitas e das despesas</w:t>
      </w:r>
      <w:r w:rsidR="0087330E">
        <w:rPr>
          <w:rFonts w:ascii="Gill Sans MT" w:hAnsi="Gill Sans MT" w:cs="Times New Roman"/>
          <w:sz w:val="24"/>
          <w:szCs w:val="24"/>
        </w:rPr>
        <w:t xml:space="preserve"> do RS</w:t>
      </w:r>
      <w:r>
        <w:rPr>
          <w:rFonts w:ascii="Gill Sans MT" w:hAnsi="Gill Sans MT" w:cs="Times New Roman"/>
          <w:sz w:val="24"/>
          <w:szCs w:val="24"/>
        </w:rPr>
        <w:t xml:space="preserve">, de modo a </w:t>
      </w:r>
      <w:r w:rsidR="003E2C66">
        <w:rPr>
          <w:rFonts w:ascii="Gill Sans MT" w:hAnsi="Gill Sans MT" w:cs="Times New Roman"/>
          <w:sz w:val="24"/>
          <w:szCs w:val="24"/>
        </w:rPr>
        <w:t>situar o problema em termos individualizados nas fontes de receitas públicas e na parte do gasto público.</w:t>
      </w:r>
    </w:p>
    <w:p w14:paraId="5F5B7FC3" w14:textId="77777777" w:rsidR="003E2C66" w:rsidRPr="00A42604" w:rsidRDefault="003E2C66" w:rsidP="00BA45F7">
      <w:pPr>
        <w:spacing w:line="360" w:lineRule="auto"/>
        <w:ind w:firstLine="1134"/>
        <w:jc w:val="both"/>
        <w:rPr>
          <w:rFonts w:ascii="Gill Sans MT" w:hAnsi="Gill Sans MT" w:cs="Times New Roman"/>
          <w:sz w:val="24"/>
          <w:szCs w:val="24"/>
        </w:rPr>
      </w:pPr>
      <w:bookmarkStart w:id="0" w:name="_GoBack"/>
      <w:bookmarkEnd w:id="0"/>
    </w:p>
    <w:p w14:paraId="7C17279D" w14:textId="77777777" w:rsidR="00BF2CA1" w:rsidRPr="00A42604" w:rsidRDefault="00BF2CA1" w:rsidP="007749CB">
      <w:pPr>
        <w:pStyle w:val="PargrafodaLista"/>
        <w:numPr>
          <w:ilvl w:val="0"/>
          <w:numId w:val="3"/>
        </w:numPr>
        <w:ind w:left="0" w:firstLine="0"/>
        <w:rPr>
          <w:rFonts w:ascii="Gill Sans MT" w:hAnsi="Gill Sans MT" w:cs="Times New Roman"/>
          <w:b/>
          <w:sz w:val="24"/>
          <w:szCs w:val="24"/>
        </w:rPr>
      </w:pPr>
      <w:r w:rsidRPr="00A42604">
        <w:rPr>
          <w:rFonts w:ascii="Gill Sans MT" w:hAnsi="Gill Sans MT" w:cs="Times New Roman"/>
          <w:b/>
          <w:sz w:val="24"/>
          <w:szCs w:val="24"/>
        </w:rPr>
        <w:t>Receitas</w:t>
      </w:r>
    </w:p>
    <w:p w14:paraId="2735C9BE" w14:textId="77777777" w:rsidR="00CE3A42" w:rsidRPr="00A42604" w:rsidRDefault="00CE3A42" w:rsidP="00BA45F7">
      <w:pPr>
        <w:spacing w:line="360" w:lineRule="auto"/>
        <w:ind w:firstLine="1134"/>
        <w:jc w:val="both"/>
        <w:rPr>
          <w:rFonts w:ascii="Gill Sans MT" w:hAnsi="Gill Sans MT" w:cs="Times New Roman"/>
          <w:sz w:val="24"/>
          <w:szCs w:val="24"/>
        </w:rPr>
      </w:pPr>
    </w:p>
    <w:p w14:paraId="3DE1B231" w14:textId="27F5F293" w:rsidR="00AA11ED" w:rsidRPr="00A42604" w:rsidRDefault="00285071" w:rsidP="00BA45F7">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As receitas do estado </w:t>
      </w:r>
      <w:r w:rsidR="00532146" w:rsidRPr="00A42604">
        <w:rPr>
          <w:rFonts w:ascii="Gill Sans MT" w:hAnsi="Gill Sans MT" w:cs="Times New Roman"/>
          <w:sz w:val="24"/>
          <w:szCs w:val="24"/>
        </w:rPr>
        <w:t xml:space="preserve">apresentaram </w:t>
      </w:r>
      <w:r w:rsidRPr="00A42604">
        <w:rPr>
          <w:rFonts w:ascii="Gill Sans MT" w:hAnsi="Gill Sans MT" w:cs="Times New Roman"/>
          <w:sz w:val="24"/>
          <w:szCs w:val="24"/>
        </w:rPr>
        <w:t>nos anos recentes um resultado</w:t>
      </w:r>
      <w:r w:rsidR="00532146" w:rsidRPr="00A42604">
        <w:rPr>
          <w:rFonts w:ascii="Gill Sans MT" w:hAnsi="Gill Sans MT" w:cs="Times New Roman"/>
          <w:sz w:val="24"/>
          <w:szCs w:val="24"/>
        </w:rPr>
        <w:t xml:space="preserve"> bastante</w:t>
      </w:r>
      <w:r w:rsidRPr="00A42604">
        <w:rPr>
          <w:rFonts w:ascii="Gill Sans MT" w:hAnsi="Gill Sans MT" w:cs="Times New Roman"/>
          <w:sz w:val="24"/>
          <w:szCs w:val="24"/>
        </w:rPr>
        <w:t xml:space="preserve"> positivo. </w:t>
      </w:r>
      <w:r w:rsidR="00AA11ED" w:rsidRPr="00A42604">
        <w:rPr>
          <w:rFonts w:ascii="Gill Sans MT" w:hAnsi="Gill Sans MT" w:cs="Times New Roman"/>
          <w:sz w:val="24"/>
          <w:szCs w:val="24"/>
        </w:rPr>
        <w:t xml:space="preserve">Mesmo em anos de crise econômica, década perdida, e demais </w:t>
      </w:r>
      <w:r w:rsidR="00227CB4" w:rsidRPr="00A42604">
        <w:rPr>
          <w:rFonts w:ascii="Gill Sans MT" w:hAnsi="Gill Sans MT" w:cs="Times New Roman"/>
          <w:sz w:val="24"/>
          <w:szCs w:val="24"/>
        </w:rPr>
        <w:t>percalços</w:t>
      </w:r>
      <w:r w:rsidR="00AA11ED" w:rsidRPr="00A42604">
        <w:rPr>
          <w:rFonts w:ascii="Gill Sans MT" w:hAnsi="Gill Sans MT" w:cs="Times New Roman"/>
          <w:sz w:val="24"/>
          <w:szCs w:val="24"/>
        </w:rPr>
        <w:t xml:space="preserve"> ec</w:t>
      </w:r>
      <w:r w:rsidR="00AE1630" w:rsidRPr="00A42604">
        <w:rPr>
          <w:rFonts w:ascii="Gill Sans MT" w:hAnsi="Gill Sans MT" w:cs="Times New Roman"/>
          <w:sz w:val="24"/>
          <w:szCs w:val="24"/>
        </w:rPr>
        <w:t>o</w:t>
      </w:r>
      <w:r w:rsidR="00AA11ED" w:rsidRPr="00A42604">
        <w:rPr>
          <w:rFonts w:ascii="Gill Sans MT" w:hAnsi="Gill Sans MT" w:cs="Times New Roman"/>
          <w:sz w:val="24"/>
          <w:szCs w:val="24"/>
        </w:rPr>
        <w:t>n</w:t>
      </w:r>
      <w:r w:rsidR="00AE1630" w:rsidRPr="00A42604">
        <w:rPr>
          <w:rFonts w:ascii="Gill Sans MT" w:hAnsi="Gill Sans MT" w:cs="Times New Roman"/>
          <w:sz w:val="24"/>
          <w:szCs w:val="24"/>
        </w:rPr>
        <w:t>ô</w:t>
      </w:r>
      <w:r w:rsidR="00AA11ED" w:rsidRPr="00A42604">
        <w:rPr>
          <w:rFonts w:ascii="Gill Sans MT" w:hAnsi="Gill Sans MT" w:cs="Times New Roman"/>
          <w:sz w:val="24"/>
          <w:szCs w:val="24"/>
        </w:rPr>
        <w:t>m</w:t>
      </w:r>
      <w:r w:rsidR="00AE1630" w:rsidRPr="00A42604">
        <w:rPr>
          <w:rFonts w:ascii="Gill Sans MT" w:hAnsi="Gill Sans MT" w:cs="Times New Roman"/>
          <w:sz w:val="24"/>
          <w:szCs w:val="24"/>
        </w:rPr>
        <w:t>ic</w:t>
      </w:r>
      <w:r w:rsidR="00AA11ED" w:rsidRPr="00A42604">
        <w:rPr>
          <w:rFonts w:ascii="Gill Sans MT" w:hAnsi="Gill Sans MT" w:cs="Times New Roman"/>
          <w:sz w:val="24"/>
          <w:szCs w:val="24"/>
        </w:rPr>
        <w:t>os</w:t>
      </w:r>
      <w:r w:rsidR="00996A9C" w:rsidRPr="00A42604">
        <w:rPr>
          <w:rFonts w:ascii="Gill Sans MT" w:hAnsi="Gill Sans MT" w:cs="Times New Roman"/>
          <w:sz w:val="24"/>
          <w:szCs w:val="24"/>
        </w:rPr>
        <w:t xml:space="preserve"> como estiagens e crises locais</w:t>
      </w:r>
      <w:r w:rsidR="00AA11ED" w:rsidRPr="00A42604">
        <w:rPr>
          <w:rFonts w:ascii="Gill Sans MT" w:hAnsi="Gill Sans MT" w:cs="Times New Roman"/>
          <w:sz w:val="24"/>
          <w:szCs w:val="24"/>
        </w:rPr>
        <w:t xml:space="preserve"> que </w:t>
      </w:r>
      <w:r w:rsidR="00227CB4" w:rsidRPr="00A42604">
        <w:rPr>
          <w:rFonts w:ascii="Gill Sans MT" w:hAnsi="Gill Sans MT" w:cs="Times New Roman"/>
          <w:sz w:val="24"/>
          <w:szCs w:val="24"/>
        </w:rPr>
        <w:t>atingiram</w:t>
      </w:r>
      <w:r w:rsidR="00AA11ED" w:rsidRPr="00A42604">
        <w:rPr>
          <w:rFonts w:ascii="Gill Sans MT" w:hAnsi="Gill Sans MT" w:cs="Times New Roman"/>
          <w:sz w:val="24"/>
          <w:szCs w:val="24"/>
        </w:rPr>
        <w:t xml:space="preserve"> o Brasil e o Rio Grade do Sul em especial, a arrecadação total em relação ao PIB se manteve com viés de alta, como pode ser visto no gráfico</w:t>
      </w:r>
      <w:r w:rsidR="009104D6" w:rsidRPr="00A42604">
        <w:rPr>
          <w:rFonts w:ascii="Gill Sans MT" w:hAnsi="Gill Sans MT" w:cs="Times New Roman"/>
          <w:sz w:val="24"/>
          <w:szCs w:val="24"/>
        </w:rPr>
        <w:t xml:space="preserve"> </w:t>
      </w:r>
      <w:r w:rsidR="00E84EBB" w:rsidRPr="00A42604">
        <w:rPr>
          <w:rFonts w:ascii="Gill Sans MT" w:hAnsi="Gill Sans MT" w:cs="Times New Roman"/>
          <w:sz w:val="24"/>
          <w:szCs w:val="24"/>
        </w:rPr>
        <w:t>2</w:t>
      </w:r>
      <w:r w:rsidR="009104D6" w:rsidRPr="00A42604">
        <w:rPr>
          <w:rFonts w:ascii="Gill Sans MT" w:hAnsi="Gill Sans MT" w:cs="Times New Roman"/>
          <w:sz w:val="24"/>
          <w:szCs w:val="24"/>
        </w:rPr>
        <w:t>,</w:t>
      </w:r>
      <w:r w:rsidR="00AA11ED" w:rsidRPr="00A42604">
        <w:rPr>
          <w:rFonts w:ascii="Gill Sans MT" w:hAnsi="Gill Sans MT" w:cs="Times New Roman"/>
          <w:sz w:val="24"/>
          <w:szCs w:val="24"/>
        </w:rPr>
        <w:t xml:space="preserve"> abaixo:</w:t>
      </w:r>
    </w:p>
    <w:p w14:paraId="4AF5546A" w14:textId="77777777" w:rsidR="00546B48" w:rsidRPr="00A42604" w:rsidRDefault="00546B48" w:rsidP="00BA45F7">
      <w:pPr>
        <w:spacing w:line="360" w:lineRule="auto"/>
        <w:ind w:firstLine="1134"/>
        <w:jc w:val="both"/>
        <w:rPr>
          <w:rFonts w:ascii="Gill Sans MT" w:hAnsi="Gill Sans MT" w:cs="Times New Roman"/>
          <w:sz w:val="24"/>
          <w:szCs w:val="24"/>
        </w:rPr>
      </w:pPr>
    </w:p>
    <w:p w14:paraId="167DC8C3" w14:textId="2B46FD61" w:rsidR="00227CB4" w:rsidRPr="00A42604" w:rsidRDefault="009104D6" w:rsidP="00227CB4">
      <w:pPr>
        <w:ind w:left="1134" w:right="1132"/>
        <w:jc w:val="center"/>
        <w:rPr>
          <w:rFonts w:ascii="Gill Sans MT" w:hAnsi="Gill Sans MT" w:cs="Times New Roman"/>
          <w:sz w:val="24"/>
          <w:szCs w:val="24"/>
        </w:rPr>
      </w:pPr>
      <w:r w:rsidRPr="00A42604">
        <w:rPr>
          <w:rFonts w:ascii="Gill Sans MT" w:hAnsi="Gill Sans MT" w:cs="Times New Roman"/>
          <w:b/>
          <w:sz w:val="24"/>
          <w:szCs w:val="24"/>
        </w:rPr>
        <w:t>G</w:t>
      </w:r>
      <w:r w:rsidR="00227CB4" w:rsidRPr="00A42604">
        <w:rPr>
          <w:rFonts w:ascii="Gill Sans MT" w:hAnsi="Gill Sans MT" w:cs="Times New Roman"/>
          <w:b/>
          <w:sz w:val="24"/>
          <w:szCs w:val="24"/>
        </w:rPr>
        <w:t xml:space="preserve">ráfico </w:t>
      </w:r>
      <w:r w:rsidR="00E84EBB" w:rsidRPr="00A42604">
        <w:rPr>
          <w:rFonts w:ascii="Gill Sans MT" w:hAnsi="Gill Sans MT" w:cs="Times New Roman"/>
          <w:b/>
          <w:sz w:val="24"/>
          <w:szCs w:val="24"/>
        </w:rPr>
        <w:t>2</w:t>
      </w:r>
      <w:r w:rsidR="00227CB4" w:rsidRPr="00A42604">
        <w:rPr>
          <w:rFonts w:ascii="Gill Sans MT" w:hAnsi="Gill Sans MT" w:cs="Times New Roman"/>
          <w:b/>
          <w:sz w:val="24"/>
          <w:szCs w:val="24"/>
        </w:rPr>
        <w:t>: Receita total/PIB - Rio Grande do Sul - 1971-2015</w:t>
      </w:r>
    </w:p>
    <w:p w14:paraId="728B94D6" w14:textId="77777777" w:rsidR="00DB2968" w:rsidRPr="00373925" w:rsidRDefault="00227CB4" w:rsidP="00DB2968">
      <w:pPr>
        <w:spacing w:line="240" w:lineRule="auto"/>
        <w:rPr>
          <w:rFonts w:ascii="Gill Sans MT" w:hAnsi="Gill Sans MT" w:cs="Times New Roman"/>
          <w:sz w:val="14"/>
          <w:szCs w:val="16"/>
        </w:rPr>
      </w:pPr>
      <w:r w:rsidRPr="00A42604">
        <w:rPr>
          <w:noProof/>
          <w:lang w:eastAsia="pt-BR"/>
        </w:rPr>
        <w:lastRenderedPageBreak/>
        <w:drawing>
          <wp:inline distT="0" distB="0" distL="0" distR="0" wp14:anchorId="0D5EFC16" wp14:editId="51EC61A5">
            <wp:extent cx="5812517" cy="2090057"/>
            <wp:effectExtent l="0" t="0" r="17145" b="571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73925">
        <w:rPr>
          <w:rFonts w:ascii="Gill Sans MT" w:eastAsia="Times New Roman" w:hAnsi="Gill Sans MT" w:cs="Times New Roman"/>
          <w:sz w:val="14"/>
          <w:szCs w:val="16"/>
          <w:lang w:eastAsia="pt-BR"/>
        </w:rPr>
        <w:t xml:space="preserve">Fonte: elaboração do </w:t>
      </w:r>
      <w:r w:rsidR="00EA57C3" w:rsidRPr="00373925">
        <w:rPr>
          <w:rFonts w:ascii="Gill Sans MT" w:eastAsia="Times New Roman" w:hAnsi="Gill Sans MT" w:cs="Times New Roman"/>
          <w:sz w:val="14"/>
          <w:szCs w:val="16"/>
          <w:lang w:eastAsia="pt-BR"/>
        </w:rPr>
        <w:t>autor com</w:t>
      </w:r>
      <w:r w:rsidRPr="00373925">
        <w:rPr>
          <w:rFonts w:ascii="Gill Sans MT" w:eastAsia="Times New Roman" w:hAnsi="Gill Sans MT" w:cs="Times New Roman"/>
          <w:sz w:val="14"/>
          <w:szCs w:val="16"/>
          <w:lang w:eastAsia="pt-BR"/>
        </w:rPr>
        <w:t xml:space="preserve"> dados da SEFAZ</w:t>
      </w:r>
      <w:r w:rsidR="00AF4CB9" w:rsidRPr="00373925">
        <w:rPr>
          <w:rFonts w:ascii="Gill Sans MT" w:eastAsia="Times New Roman" w:hAnsi="Gill Sans MT" w:cs="Times New Roman"/>
          <w:sz w:val="14"/>
          <w:szCs w:val="16"/>
          <w:lang w:eastAsia="pt-BR"/>
        </w:rPr>
        <w:t>,</w:t>
      </w:r>
      <w:r w:rsidRPr="00373925">
        <w:rPr>
          <w:rFonts w:ascii="Gill Sans MT" w:eastAsia="Times New Roman" w:hAnsi="Gill Sans MT" w:cs="Times New Roman"/>
          <w:sz w:val="14"/>
          <w:szCs w:val="16"/>
          <w:lang w:eastAsia="pt-BR"/>
        </w:rPr>
        <w:t xml:space="preserve"> </w:t>
      </w:r>
      <w:r w:rsidR="00DB2968" w:rsidRPr="00373925">
        <w:rPr>
          <w:rFonts w:ascii="Gill Sans MT" w:eastAsia="Times New Roman" w:hAnsi="Gill Sans MT" w:cs="Times New Roman"/>
          <w:sz w:val="14"/>
          <w:szCs w:val="16"/>
          <w:lang w:eastAsia="pt-BR"/>
        </w:rPr>
        <w:t xml:space="preserve">FEE, </w:t>
      </w:r>
      <w:r w:rsidR="00DB2968" w:rsidRPr="00373925">
        <w:rPr>
          <w:rFonts w:ascii="Gill Sans MT" w:hAnsi="Gill Sans MT" w:cs="Times New Roman"/>
          <w:sz w:val="14"/>
          <w:szCs w:val="16"/>
        </w:rPr>
        <w:t>e PLOA 2016. Nota: Valores de 2015 são correntes. PIB de 2014 e 2015 são estimativas da FEE.</w:t>
      </w:r>
    </w:p>
    <w:p w14:paraId="793A7D53" w14:textId="77777777" w:rsidR="0008725F" w:rsidRPr="00A42604" w:rsidRDefault="0008725F" w:rsidP="00DB2968">
      <w:pPr>
        <w:spacing w:line="240" w:lineRule="auto"/>
        <w:rPr>
          <w:rFonts w:ascii="Gill Sans MT" w:hAnsi="Gill Sans MT" w:cs="Times New Roman"/>
          <w:sz w:val="16"/>
          <w:szCs w:val="16"/>
        </w:rPr>
      </w:pPr>
    </w:p>
    <w:p w14:paraId="1347B2C9" w14:textId="77777777" w:rsidR="00285071" w:rsidRPr="00A42604" w:rsidRDefault="00EA57C3" w:rsidP="00BA45F7">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Em relação ao ICMS, que é a principal receita própria do estado, e foco nesse capítulo, </w:t>
      </w:r>
      <w:r w:rsidR="00285071" w:rsidRPr="00A42604">
        <w:rPr>
          <w:rFonts w:ascii="Gill Sans MT" w:hAnsi="Gill Sans MT" w:cs="Times New Roman"/>
          <w:sz w:val="24"/>
          <w:szCs w:val="24"/>
        </w:rPr>
        <w:t>a arrecadação é fortemente correlacionada com o PIB estadual, com elasti</w:t>
      </w:r>
      <w:r w:rsidR="00433C3A" w:rsidRPr="00A42604">
        <w:rPr>
          <w:rFonts w:ascii="Gill Sans MT" w:hAnsi="Gill Sans MT" w:cs="Times New Roman"/>
          <w:sz w:val="24"/>
          <w:szCs w:val="24"/>
        </w:rPr>
        <w:t>cidade pouco superior à unidade,</w:t>
      </w:r>
      <w:r w:rsidR="00A309FA" w:rsidRPr="00A42604">
        <w:rPr>
          <w:rFonts w:ascii="Gill Sans MT" w:hAnsi="Gill Sans MT" w:cs="Times New Roman"/>
          <w:sz w:val="24"/>
          <w:szCs w:val="24"/>
        </w:rPr>
        <w:t xml:space="preserve"> como pode ser visto na estimação abaixo, que mostra que a elasticidade ICMS/PIB foi</w:t>
      </w:r>
      <w:r w:rsidR="00ED680F" w:rsidRPr="00A42604">
        <w:rPr>
          <w:rFonts w:ascii="Gill Sans MT" w:hAnsi="Gill Sans MT" w:cs="Times New Roman"/>
          <w:sz w:val="24"/>
          <w:szCs w:val="24"/>
        </w:rPr>
        <w:t>,</w:t>
      </w:r>
      <w:r w:rsidR="00A309FA" w:rsidRPr="00A42604">
        <w:rPr>
          <w:rFonts w:ascii="Gill Sans MT" w:hAnsi="Gill Sans MT" w:cs="Times New Roman"/>
          <w:sz w:val="24"/>
          <w:szCs w:val="24"/>
        </w:rPr>
        <w:t xml:space="preserve"> no </w:t>
      </w:r>
      <w:r w:rsidR="00ED680F" w:rsidRPr="00A42604">
        <w:rPr>
          <w:rFonts w:ascii="Gill Sans MT" w:hAnsi="Gill Sans MT" w:cs="Times New Roman"/>
          <w:sz w:val="24"/>
          <w:szCs w:val="24"/>
        </w:rPr>
        <w:t>período</w:t>
      </w:r>
      <w:r w:rsidR="00A309FA" w:rsidRPr="00A42604">
        <w:rPr>
          <w:rFonts w:ascii="Gill Sans MT" w:hAnsi="Gill Sans MT" w:cs="Times New Roman"/>
          <w:sz w:val="24"/>
          <w:szCs w:val="24"/>
        </w:rPr>
        <w:t xml:space="preserve"> entre 1999-2015</w:t>
      </w:r>
      <w:r w:rsidR="00ED680F" w:rsidRPr="00A42604">
        <w:rPr>
          <w:rFonts w:ascii="Gill Sans MT" w:hAnsi="Gill Sans MT" w:cs="Times New Roman"/>
          <w:sz w:val="24"/>
          <w:szCs w:val="24"/>
        </w:rPr>
        <w:t>,</w:t>
      </w:r>
      <w:r w:rsidR="00A309FA" w:rsidRPr="00A42604">
        <w:rPr>
          <w:rFonts w:ascii="Gill Sans MT" w:hAnsi="Gill Sans MT" w:cs="Times New Roman"/>
          <w:sz w:val="24"/>
          <w:szCs w:val="24"/>
        </w:rPr>
        <w:t xml:space="preserve"> de 1,06</w:t>
      </w:r>
      <w:r w:rsidR="00C917AD" w:rsidRPr="00A42604">
        <w:rPr>
          <w:rFonts w:ascii="Gill Sans MT" w:hAnsi="Gill Sans MT" w:cs="Times New Roman"/>
          <w:sz w:val="24"/>
          <w:szCs w:val="24"/>
        </w:rPr>
        <w:t>36</w:t>
      </w:r>
      <w:r w:rsidR="00A309FA" w:rsidRPr="00A42604">
        <w:rPr>
          <w:rFonts w:ascii="Gill Sans MT" w:hAnsi="Gill Sans MT" w:cs="Times New Roman"/>
          <w:sz w:val="24"/>
          <w:szCs w:val="24"/>
        </w:rPr>
        <w:t>.</w:t>
      </w:r>
      <w:r w:rsidR="00433C3A" w:rsidRPr="00A42604">
        <w:rPr>
          <w:rFonts w:ascii="Gill Sans MT" w:hAnsi="Gill Sans MT" w:cs="Times New Roman"/>
          <w:sz w:val="24"/>
          <w:szCs w:val="24"/>
        </w:rPr>
        <w:t xml:space="preserve"> </w:t>
      </w:r>
      <w:r w:rsidR="00A309FA" w:rsidRPr="00A42604">
        <w:rPr>
          <w:rFonts w:ascii="Gill Sans MT" w:hAnsi="Gill Sans MT" w:cs="Times New Roman"/>
          <w:sz w:val="24"/>
          <w:szCs w:val="24"/>
        </w:rPr>
        <w:t>L</w:t>
      </w:r>
      <w:r w:rsidR="00433C3A" w:rsidRPr="00A42604">
        <w:rPr>
          <w:rFonts w:ascii="Gill Sans MT" w:hAnsi="Gill Sans MT" w:cs="Times New Roman"/>
          <w:sz w:val="24"/>
          <w:szCs w:val="24"/>
        </w:rPr>
        <w:t xml:space="preserve">ogo, o desempenho da economia gaúcha como um todo é fato condicionante para o desempenho da arrecadação desse </w:t>
      </w:r>
      <w:r w:rsidR="00A309FA" w:rsidRPr="00A42604">
        <w:rPr>
          <w:rFonts w:ascii="Gill Sans MT" w:hAnsi="Gill Sans MT" w:cs="Times New Roman"/>
          <w:sz w:val="24"/>
          <w:szCs w:val="24"/>
        </w:rPr>
        <w:t>tributo</w:t>
      </w:r>
      <w:r w:rsidR="00433C3A" w:rsidRPr="00A42604">
        <w:rPr>
          <w:rFonts w:ascii="Gill Sans MT" w:hAnsi="Gill Sans MT" w:cs="Times New Roman"/>
          <w:sz w:val="24"/>
          <w:szCs w:val="24"/>
        </w:rPr>
        <w:t>.</w:t>
      </w:r>
    </w:p>
    <w:p w14:paraId="40A27A8C" w14:textId="77777777" w:rsidR="00E4461B" w:rsidRDefault="00C917AD" w:rsidP="007A6D76">
      <w:pPr>
        <w:widowControl w:val="0"/>
        <w:autoSpaceDE w:val="0"/>
        <w:autoSpaceDN w:val="0"/>
        <w:adjustRightInd w:val="0"/>
        <w:spacing w:after="0" w:line="240" w:lineRule="auto"/>
        <w:ind w:right="565" w:firstLine="1134"/>
        <w:jc w:val="center"/>
        <w:rPr>
          <w:rFonts w:ascii="Gill Sans MT" w:eastAsia="Times New Roman" w:hAnsi="Gill Sans MT" w:cs="Times New Roman"/>
          <w:b/>
          <w:sz w:val="24"/>
          <w:szCs w:val="24"/>
          <w:lang w:eastAsia="pt-BR"/>
        </w:rPr>
      </w:pPr>
      <w:r w:rsidRPr="005801D3">
        <w:rPr>
          <w:rFonts w:ascii="Gill Sans MT" w:eastAsia="Times New Roman" w:hAnsi="Gill Sans MT" w:cs="Times New Roman"/>
          <w:b/>
          <w:sz w:val="24"/>
          <w:szCs w:val="24"/>
          <w:lang w:eastAsia="pt-BR"/>
        </w:rPr>
        <w:t>Quadro 1 -</w:t>
      </w:r>
      <w:r w:rsidR="00E4461B" w:rsidRPr="005801D3">
        <w:rPr>
          <w:rFonts w:ascii="Gill Sans MT" w:eastAsia="Times New Roman" w:hAnsi="Gill Sans MT" w:cs="Times New Roman"/>
          <w:b/>
          <w:sz w:val="24"/>
          <w:szCs w:val="24"/>
          <w:lang w:eastAsia="pt-BR"/>
        </w:rPr>
        <w:t xml:space="preserve"> Elasticidade do ICMS-RS frente ao PIB-RS, usando as observações 1999-2015</w:t>
      </w:r>
    </w:p>
    <w:tbl>
      <w:tblPr>
        <w:tblW w:w="0" w:type="auto"/>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930"/>
        <w:gridCol w:w="1400"/>
        <w:gridCol w:w="1400"/>
        <w:gridCol w:w="1400"/>
        <w:gridCol w:w="1400"/>
        <w:gridCol w:w="500"/>
      </w:tblGrid>
      <w:tr w:rsidR="00A42604" w:rsidRPr="00A42604" w14:paraId="5CFDE18D" w14:textId="77777777" w:rsidTr="00A309FA">
        <w:trPr>
          <w:trHeight w:val="262"/>
          <w:jc w:val="center"/>
        </w:trPr>
        <w:tc>
          <w:tcPr>
            <w:tcW w:w="1930" w:type="dxa"/>
          </w:tcPr>
          <w:p w14:paraId="35EC4E6F"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i/>
                <w:iCs/>
                <w:sz w:val="20"/>
                <w:szCs w:val="20"/>
                <w:lang w:eastAsia="pt-BR"/>
              </w:rPr>
              <w:t xml:space="preserve"> </w:t>
            </w:r>
          </w:p>
        </w:tc>
        <w:tc>
          <w:tcPr>
            <w:tcW w:w="1400" w:type="dxa"/>
          </w:tcPr>
          <w:p w14:paraId="4589BCCF"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i/>
                <w:iCs/>
                <w:sz w:val="20"/>
                <w:szCs w:val="20"/>
                <w:lang w:eastAsia="pt-BR"/>
              </w:rPr>
              <w:t>Coeficiente</w:t>
            </w:r>
          </w:p>
        </w:tc>
        <w:tc>
          <w:tcPr>
            <w:tcW w:w="1400" w:type="dxa"/>
          </w:tcPr>
          <w:p w14:paraId="501D2BC9"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i/>
                <w:iCs/>
                <w:sz w:val="20"/>
                <w:szCs w:val="20"/>
                <w:lang w:eastAsia="pt-BR"/>
              </w:rPr>
              <w:t xml:space="preserve">Erro </w:t>
            </w:r>
            <w:r w:rsidR="00A3455B" w:rsidRPr="00A42604">
              <w:rPr>
                <w:rFonts w:ascii="Times New Roman" w:eastAsia="Times New Roman" w:hAnsi="Times New Roman" w:cs="Times New Roman"/>
                <w:i/>
                <w:iCs/>
                <w:sz w:val="20"/>
                <w:szCs w:val="20"/>
                <w:lang w:eastAsia="pt-BR"/>
              </w:rPr>
              <w:t>Padrão</w:t>
            </w:r>
          </w:p>
        </w:tc>
        <w:tc>
          <w:tcPr>
            <w:tcW w:w="1400" w:type="dxa"/>
          </w:tcPr>
          <w:p w14:paraId="0A25AF04" w14:textId="77777777" w:rsidR="00E4461B" w:rsidRPr="00A42604" w:rsidRDefault="00A3455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i/>
                <w:iCs/>
                <w:sz w:val="20"/>
                <w:szCs w:val="20"/>
                <w:lang w:eastAsia="pt-BR"/>
              </w:rPr>
              <w:t>Razão-t</w:t>
            </w:r>
          </w:p>
        </w:tc>
        <w:tc>
          <w:tcPr>
            <w:tcW w:w="1400" w:type="dxa"/>
          </w:tcPr>
          <w:p w14:paraId="62B7DCA1"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proofErr w:type="gramStart"/>
            <w:r w:rsidRPr="00A42604">
              <w:rPr>
                <w:rFonts w:ascii="Times New Roman" w:eastAsia="Times New Roman" w:hAnsi="Times New Roman" w:cs="Times New Roman"/>
                <w:i/>
                <w:iCs/>
                <w:sz w:val="20"/>
                <w:szCs w:val="20"/>
                <w:lang w:eastAsia="pt-BR"/>
              </w:rPr>
              <w:t>p</w:t>
            </w:r>
            <w:proofErr w:type="gramEnd"/>
            <w:r w:rsidRPr="00A42604">
              <w:rPr>
                <w:rFonts w:ascii="Times New Roman" w:eastAsia="Times New Roman" w:hAnsi="Times New Roman" w:cs="Times New Roman"/>
                <w:i/>
                <w:iCs/>
                <w:sz w:val="20"/>
                <w:szCs w:val="20"/>
                <w:lang w:eastAsia="pt-BR"/>
              </w:rPr>
              <w:t>-valor</w:t>
            </w:r>
          </w:p>
        </w:tc>
        <w:tc>
          <w:tcPr>
            <w:tcW w:w="500" w:type="dxa"/>
          </w:tcPr>
          <w:p w14:paraId="429804D3"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20"/>
                <w:szCs w:val="20"/>
                <w:lang w:eastAsia="pt-BR"/>
              </w:rPr>
            </w:pPr>
          </w:p>
        </w:tc>
      </w:tr>
      <w:tr w:rsidR="00A42604" w:rsidRPr="00A42604" w14:paraId="631540DC" w14:textId="77777777" w:rsidTr="00A309FA">
        <w:trPr>
          <w:trHeight w:val="262"/>
          <w:jc w:val="center"/>
        </w:trPr>
        <w:tc>
          <w:tcPr>
            <w:tcW w:w="1930" w:type="dxa"/>
          </w:tcPr>
          <w:p w14:paraId="12C2C254"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20"/>
                <w:szCs w:val="20"/>
                <w:lang w:eastAsia="pt-BR"/>
              </w:rPr>
            </w:pPr>
            <w:proofErr w:type="spellStart"/>
            <w:proofErr w:type="gramStart"/>
            <w:r w:rsidRPr="00A42604">
              <w:rPr>
                <w:rFonts w:ascii="Times New Roman" w:eastAsia="Times New Roman" w:hAnsi="Times New Roman" w:cs="Times New Roman"/>
                <w:sz w:val="20"/>
                <w:szCs w:val="20"/>
                <w:lang w:eastAsia="pt-BR"/>
              </w:rPr>
              <w:t>const</w:t>
            </w:r>
            <w:proofErr w:type="spellEnd"/>
            <w:proofErr w:type="gramEnd"/>
          </w:p>
        </w:tc>
        <w:tc>
          <w:tcPr>
            <w:tcW w:w="1400" w:type="dxa"/>
          </w:tcPr>
          <w:p w14:paraId="54A5DDC4" w14:textId="77777777" w:rsidR="00E4461B" w:rsidRPr="00A42604" w:rsidRDefault="00E4461B" w:rsidP="00A3455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sz w:val="20"/>
                <w:szCs w:val="20"/>
                <w:lang w:eastAsia="pt-BR"/>
              </w:rPr>
              <w:t>4,29199</w:t>
            </w:r>
          </w:p>
        </w:tc>
        <w:tc>
          <w:tcPr>
            <w:tcW w:w="1400" w:type="dxa"/>
          </w:tcPr>
          <w:p w14:paraId="7A398C74"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sz w:val="20"/>
                <w:szCs w:val="20"/>
                <w:lang w:eastAsia="pt-BR"/>
              </w:rPr>
              <w:t>0,548483</w:t>
            </w:r>
          </w:p>
        </w:tc>
        <w:tc>
          <w:tcPr>
            <w:tcW w:w="1400" w:type="dxa"/>
          </w:tcPr>
          <w:p w14:paraId="0CCE3FB2"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sz w:val="20"/>
                <w:szCs w:val="20"/>
                <w:lang w:eastAsia="pt-BR"/>
              </w:rPr>
              <w:t>7,8252</w:t>
            </w:r>
          </w:p>
        </w:tc>
        <w:tc>
          <w:tcPr>
            <w:tcW w:w="1400" w:type="dxa"/>
          </w:tcPr>
          <w:p w14:paraId="5F6E4563"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sz w:val="20"/>
                <w:szCs w:val="20"/>
                <w:lang w:eastAsia="pt-BR"/>
              </w:rPr>
              <w:t>&lt;0,0001</w:t>
            </w:r>
          </w:p>
        </w:tc>
        <w:tc>
          <w:tcPr>
            <w:tcW w:w="500" w:type="dxa"/>
          </w:tcPr>
          <w:p w14:paraId="2468C9DF"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20"/>
                <w:szCs w:val="20"/>
                <w:lang w:eastAsia="pt-BR"/>
              </w:rPr>
            </w:pPr>
            <w:r w:rsidRPr="00A42604">
              <w:rPr>
                <w:rFonts w:ascii="Times New Roman" w:eastAsia="Times New Roman" w:hAnsi="Times New Roman" w:cs="Times New Roman"/>
                <w:sz w:val="20"/>
                <w:szCs w:val="20"/>
                <w:lang w:eastAsia="pt-BR"/>
              </w:rPr>
              <w:t>***</w:t>
            </w:r>
          </w:p>
        </w:tc>
      </w:tr>
      <w:tr w:rsidR="00E4461B" w:rsidRPr="00A42604" w14:paraId="2266DD69" w14:textId="77777777" w:rsidTr="00A309FA">
        <w:trPr>
          <w:trHeight w:val="262"/>
          <w:jc w:val="center"/>
        </w:trPr>
        <w:tc>
          <w:tcPr>
            <w:tcW w:w="1930" w:type="dxa"/>
          </w:tcPr>
          <w:p w14:paraId="41661163"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20"/>
                <w:szCs w:val="20"/>
                <w:lang w:eastAsia="pt-BR"/>
              </w:rPr>
            </w:pPr>
            <w:proofErr w:type="spellStart"/>
            <w:proofErr w:type="gramStart"/>
            <w:r w:rsidRPr="00A42604">
              <w:rPr>
                <w:rFonts w:ascii="Times New Roman" w:eastAsia="Times New Roman" w:hAnsi="Times New Roman" w:cs="Times New Roman"/>
                <w:sz w:val="20"/>
                <w:szCs w:val="20"/>
                <w:lang w:eastAsia="pt-BR"/>
              </w:rPr>
              <w:t>l</w:t>
            </w:r>
            <w:r w:rsidR="00A3455B" w:rsidRPr="00A42604">
              <w:rPr>
                <w:rFonts w:ascii="Times New Roman" w:eastAsia="Times New Roman" w:hAnsi="Times New Roman" w:cs="Times New Roman"/>
                <w:sz w:val="20"/>
                <w:szCs w:val="20"/>
                <w:lang w:eastAsia="pt-BR"/>
              </w:rPr>
              <w:t>og</w:t>
            </w:r>
            <w:proofErr w:type="gramEnd"/>
            <w:r w:rsidRPr="00A42604">
              <w:rPr>
                <w:rFonts w:ascii="Times New Roman" w:eastAsia="Times New Roman" w:hAnsi="Times New Roman" w:cs="Times New Roman"/>
                <w:sz w:val="20"/>
                <w:szCs w:val="20"/>
                <w:lang w:eastAsia="pt-BR"/>
              </w:rPr>
              <w:t>_PIB</w:t>
            </w:r>
            <w:proofErr w:type="spellEnd"/>
          </w:p>
        </w:tc>
        <w:tc>
          <w:tcPr>
            <w:tcW w:w="1400" w:type="dxa"/>
          </w:tcPr>
          <w:p w14:paraId="03B5D82A"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pt-BR"/>
              </w:rPr>
            </w:pPr>
            <w:r w:rsidRPr="00A42604">
              <w:rPr>
                <w:rFonts w:ascii="Times New Roman" w:eastAsia="Times New Roman" w:hAnsi="Times New Roman" w:cs="Times New Roman"/>
                <w:b/>
                <w:sz w:val="20"/>
                <w:szCs w:val="20"/>
                <w:lang w:eastAsia="pt-BR"/>
              </w:rPr>
              <w:t>1,06362</w:t>
            </w:r>
          </w:p>
        </w:tc>
        <w:tc>
          <w:tcPr>
            <w:tcW w:w="1400" w:type="dxa"/>
          </w:tcPr>
          <w:p w14:paraId="72326486"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sz w:val="20"/>
                <w:szCs w:val="20"/>
                <w:lang w:eastAsia="pt-BR"/>
              </w:rPr>
              <w:t>0,0211775</w:t>
            </w:r>
          </w:p>
        </w:tc>
        <w:tc>
          <w:tcPr>
            <w:tcW w:w="1400" w:type="dxa"/>
          </w:tcPr>
          <w:p w14:paraId="12475B66"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sz w:val="20"/>
                <w:szCs w:val="20"/>
                <w:lang w:eastAsia="pt-BR"/>
              </w:rPr>
              <w:t>50,2241</w:t>
            </w:r>
          </w:p>
        </w:tc>
        <w:tc>
          <w:tcPr>
            <w:tcW w:w="1400" w:type="dxa"/>
          </w:tcPr>
          <w:p w14:paraId="568A0F20"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r w:rsidRPr="00A42604">
              <w:rPr>
                <w:rFonts w:ascii="Times New Roman" w:eastAsia="Times New Roman" w:hAnsi="Times New Roman" w:cs="Times New Roman"/>
                <w:sz w:val="20"/>
                <w:szCs w:val="20"/>
                <w:lang w:eastAsia="pt-BR"/>
              </w:rPr>
              <w:t>&lt;0,0001</w:t>
            </w:r>
          </w:p>
        </w:tc>
        <w:tc>
          <w:tcPr>
            <w:tcW w:w="500" w:type="dxa"/>
          </w:tcPr>
          <w:p w14:paraId="09732BE0"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20"/>
                <w:szCs w:val="20"/>
                <w:lang w:eastAsia="pt-BR"/>
              </w:rPr>
            </w:pPr>
            <w:r w:rsidRPr="00A42604">
              <w:rPr>
                <w:rFonts w:ascii="Times New Roman" w:eastAsia="Times New Roman" w:hAnsi="Times New Roman" w:cs="Times New Roman"/>
                <w:sz w:val="20"/>
                <w:szCs w:val="20"/>
                <w:lang w:eastAsia="pt-BR"/>
              </w:rPr>
              <w:t>***</w:t>
            </w:r>
          </w:p>
        </w:tc>
      </w:tr>
    </w:tbl>
    <w:p w14:paraId="5F48BEFD"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pt-BR"/>
        </w:rPr>
      </w:pPr>
    </w:p>
    <w:tbl>
      <w:tblPr>
        <w:tblW w:w="0" w:type="auto"/>
        <w:jc w:val="center"/>
        <w:tblLayout w:type="fixed"/>
        <w:tblCellMar>
          <w:left w:w="30" w:type="dxa"/>
          <w:right w:w="30" w:type="dxa"/>
        </w:tblCellMar>
        <w:tblLook w:val="0000" w:firstRow="0" w:lastRow="0" w:firstColumn="0" w:lastColumn="0" w:noHBand="0" w:noVBand="0"/>
      </w:tblPr>
      <w:tblGrid>
        <w:gridCol w:w="2530"/>
        <w:gridCol w:w="1300"/>
        <w:gridCol w:w="400"/>
        <w:gridCol w:w="2500"/>
        <w:gridCol w:w="1300"/>
      </w:tblGrid>
      <w:tr w:rsidR="00A42604" w:rsidRPr="00A42604" w14:paraId="0C6D0CE8" w14:textId="77777777" w:rsidTr="00A309FA">
        <w:trPr>
          <w:trHeight w:val="262"/>
          <w:jc w:val="center"/>
        </w:trPr>
        <w:tc>
          <w:tcPr>
            <w:tcW w:w="2530" w:type="dxa"/>
            <w:tcBorders>
              <w:top w:val="single" w:sz="4" w:space="0" w:color="auto"/>
              <w:left w:val="nil"/>
              <w:bottom w:val="nil"/>
              <w:right w:val="nil"/>
            </w:tcBorders>
          </w:tcPr>
          <w:p w14:paraId="04D3D272" w14:textId="77777777" w:rsidR="00E4461B" w:rsidRPr="00A42604" w:rsidRDefault="00A3455B" w:rsidP="00E4461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Média</w:t>
            </w:r>
            <w:r w:rsidR="00E4461B" w:rsidRPr="00A42604">
              <w:rPr>
                <w:rFonts w:ascii="Times New Roman" w:eastAsia="Times New Roman" w:hAnsi="Times New Roman" w:cs="Times New Roman"/>
                <w:sz w:val="18"/>
                <w:szCs w:val="18"/>
                <w:lang w:eastAsia="pt-BR"/>
              </w:rPr>
              <w:t xml:space="preserve"> var. dependente</w:t>
            </w:r>
          </w:p>
        </w:tc>
        <w:tc>
          <w:tcPr>
            <w:tcW w:w="1300" w:type="dxa"/>
            <w:tcBorders>
              <w:top w:val="single" w:sz="4" w:space="0" w:color="auto"/>
              <w:left w:val="nil"/>
              <w:bottom w:val="nil"/>
              <w:right w:val="nil"/>
            </w:tcBorders>
          </w:tcPr>
          <w:p w14:paraId="4D3D0D6B"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23,24982</w:t>
            </w:r>
          </w:p>
        </w:tc>
        <w:tc>
          <w:tcPr>
            <w:tcW w:w="400" w:type="dxa"/>
            <w:tcBorders>
              <w:top w:val="single" w:sz="4" w:space="0" w:color="auto"/>
              <w:left w:val="nil"/>
              <w:bottom w:val="nil"/>
              <w:right w:val="nil"/>
            </w:tcBorders>
          </w:tcPr>
          <w:p w14:paraId="3A38AFF1"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pt-BR"/>
              </w:rPr>
            </w:pPr>
          </w:p>
        </w:tc>
        <w:tc>
          <w:tcPr>
            <w:tcW w:w="2500" w:type="dxa"/>
            <w:tcBorders>
              <w:top w:val="single" w:sz="4" w:space="0" w:color="auto"/>
              <w:left w:val="nil"/>
              <w:bottom w:val="nil"/>
              <w:right w:val="nil"/>
            </w:tcBorders>
          </w:tcPr>
          <w:p w14:paraId="2BC283DF"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D.P. var. dependente</w:t>
            </w:r>
          </w:p>
        </w:tc>
        <w:tc>
          <w:tcPr>
            <w:tcW w:w="1300" w:type="dxa"/>
            <w:tcBorders>
              <w:top w:val="single" w:sz="4" w:space="0" w:color="auto"/>
              <w:left w:val="nil"/>
              <w:bottom w:val="nil"/>
              <w:right w:val="nil"/>
            </w:tcBorders>
          </w:tcPr>
          <w:p w14:paraId="6049DB40"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0,556982</w:t>
            </w:r>
          </w:p>
        </w:tc>
      </w:tr>
      <w:tr w:rsidR="00A42604" w:rsidRPr="00A42604" w14:paraId="095A14E8" w14:textId="77777777" w:rsidTr="00E4461B">
        <w:trPr>
          <w:trHeight w:val="262"/>
          <w:jc w:val="center"/>
        </w:trPr>
        <w:tc>
          <w:tcPr>
            <w:tcW w:w="2530" w:type="dxa"/>
            <w:tcBorders>
              <w:top w:val="nil"/>
              <w:left w:val="nil"/>
              <w:bottom w:val="nil"/>
              <w:right w:val="nil"/>
            </w:tcBorders>
          </w:tcPr>
          <w:p w14:paraId="4E94CDE9" w14:textId="77777777" w:rsidR="00E4461B" w:rsidRPr="00A42604" w:rsidRDefault="00E4461B" w:rsidP="00A3455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Soma res</w:t>
            </w:r>
            <w:r w:rsidR="00A3455B" w:rsidRPr="00A42604">
              <w:rPr>
                <w:rFonts w:ascii="Times New Roman" w:eastAsia="Times New Roman" w:hAnsi="Times New Roman" w:cs="Times New Roman"/>
                <w:sz w:val="18"/>
                <w:szCs w:val="18"/>
                <w:lang w:eastAsia="pt-BR"/>
              </w:rPr>
              <w:t>íduos</w:t>
            </w:r>
            <w:r w:rsidRPr="00A42604">
              <w:rPr>
                <w:rFonts w:ascii="Times New Roman" w:eastAsia="Times New Roman" w:hAnsi="Times New Roman" w:cs="Times New Roman"/>
                <w:sz w:val="18"/>
                <w:szCs w:val="18"/>
                <w:lang w:eastAsia="pt-BR"/>
              </w:rPr>
              <w:t xml:space="preserve"> quadrados</w:t>
            </w:r>
          </w:p>
        </w:tc>
        <w:tc>
          <w:tcPr>
            <w:tcW w:w="1300" w:type="dxa"/>
            <w:tcBorders>
              <w:top w:val="nil"/>
              <w:left w:val="nil"/>
              <w:bottom w:val="nil"/>
              <w:right w:val="nil"/>
            </w:tcBorders>
          </w:tcPr>
          <w:p w14:paraId="3DAC553C"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0,029342</w:t>
            </w:r>
          </w:p>
        </w:tc>
        <w:tc>
          <w:tcPr>
            <w:tcW w:w="400" w:type="dxa"/>
            <w:tcBorders>
              <w:top w:val="nil"/>
              <w:left w:val="nil"/>
              <w:bottom w:val="nil"/>
              <w:right w:val="nil"/>
            </w:tcBorders>
          </w:tcPr>
          <w:p w14:paraId="174EC6BA"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pt-BR"/>
              </w:rPr>
            </w:pPr>
          </w:p>
        </w:tc>
        <w:tc>
          <w:tcPr>
            <w:tcW w:w="2500" w:type="dxa"/>
            <w:tcBorders>
              <w:top w:val="nil"/>
              <w:left w:val="nil"/>
              <w:bottom w:val="nil"/>
              <w:right w:val="nil"/>
            </w:tcBorders>
          </w:tcPr>
          <w:p w14:paraId="442A7E93"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E.P. da </w:t>
            </w:r>
            <w:r w:rsidR="00A3455B" w:rsidRPr="00A42604">
              <w:rPr>
                <w:rFonts w:ascii="Times New Roman" w:eastAsia="Times New Roman" w:hAnsi="Times New Roman" w:cs="Times New Roman"/>
                <w:sz w:val="18"/>
                <w:szCs w:val="18"/>
                <w:lang w:eastAsia="pt-BR"/>
              </w:rPr>
              <w:t>regressão</w:t>
            </w:r>
          </w:p>
        </w:tc>
        <w:tc>
          <w:tcPr>
            <w:tcW w:w="1300" w:type="dxa"/>
            <w:tcBorders>
              <w:top w:val="nil"/>
              <w:left w:val="nil"/>
              <w:bottom w:val="nil"/>
              <w:right w:val="nil"/>
            </w:tcBorders>
          </w:tcPr>
          <w:p w14:paraId="2D469F4D"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0,044228</w:t>
            </w:r>
          </w:p>
        </w:tc>
      </w:tr>
      <w:tr w:rsidR="00A42604" w:rsidRPr="00A42604" w14:paraId="56DA6DA4" w14:textId="77777777" w:rsidTr="00E4461B">
        <w:trPr>
          <w:trHeight w:val="262"/>
          <w:jc w:val="center"/>
        </w:trPr>
        <w:tc>
          <w:tcPr>
            <w:tcW w:w="2530" w:type="dxa"/>
            <w:tcBorders>
              <w:top w:val="nil"/>
              <w:left w:val="nil"/>
              <w:bottom w:val="nil"/>
              <w:right w:val="nil"/>
            </w:tcBorders>
          </w:tcPr>
          <w:p w14:paraId="5FE0CA24"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R-quadrado</w:t>
            </w:r>
          </w:p>
        </w:tc>
        <w:tc>
          <w:tcPr>
            <w:tcW w:w="1300" w:type="dxa"/>
            <w:tcBorders>
              <w:top w:val="nil"/>
              <w:left w:val="nil"/>
              <w:bottom w:val="nil"/>
              <w:right w:val="nil"/>
            </w:tcBorders>
          </w:tcPr>
          <w:p w14:paraId="4DB7BA51"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0,994089</w:t>
            </w:r>
          </w:p>
        </w:tc>
        <w:tc>
          <w:tcPr>
            <w:tcW w:w="400" w:type="dxa"/>
            <w:tcBorders>
              <w:top w:val="nil"/>
              <w:left w:val="nil"/>
              <w:bottom w:val="nil"/>
              <w:right w:val="nil"/>
            </w:tcBorders>
          </w:tcPr>
          <w:p w14:paraId="1C739D34"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pt-BR"/>
              </w:rPr>
            </w:pPr>
          </w:p>
        </w:tc>
        <w:tc>
          <w:tcPr>
            <w:tcW w:w="2500" w:type="dxa"/>
            <w:tcBorders>
              <w:top w:val="nil"/>
              <w:left w:val="nil"/>
              <w:bottom w:val="nil"/>
              <w:right w:val="nil"/>
            </w:tcBorders>
          </w:tcPr>
          <w:p w14:paraId="1A629D53"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R-quadrado ajustado</w:t>
            </w:r>
          </w:p>
        </w:tc>
        <w:tc>
          <w:tcPr>
            <w:tcW w:w="1300" w:type="dxa"/>
            <w:tcBorders>
              <w:top w:val="nil"/>
              <w:left w:val="nil"/>
              <w:bottom w:val="nil"/>
              <w:right w:val="nil"/>
            </w:tcBorders>
          </w:tcPr>
          <w:p w14:paraId="543A2CED"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0,993694</w:t>
            </w:r>
          </w:p>
        </w:tc>
      </w:tr>
      <w:tr w:rsidR="00A42604" w:rsidRPr="00A42604" w14:paraId="7C3A394D" w14:textId="77777777" w:rsidTr="00E4461B">
        <w:trPr>
          <w:trHeight w:val="262"/>
          <w:jc w:val="center"/>
        </w:trPr>
        <w:tc>
          <w:tcPr>
            <w:tcW w:w="2530" w:type="dxa"/>
            <w:tcBorders>
              <w:top w:val="nil"/>
              <w:left w:val="nil"/>
              <w:bottom w:val="nil"/>
              <w:right w:val="nil"/>
            </w:tcBorders>
          </w:tcPr>
          <w:p w14:paraId="14AD1BD9"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F(1, 15)</w:t>
            </w:r>
          </w:p>
        </w:tc>
        <w:tc>
          <w:tcPr>
            <w:tcW w:w="1300" w:type="dxa"/>
            <w:tcBorders>
              <w:top w:val="nil"/>
              <w:left w:val="nil"/>
              <w:bottom w:val="nil"/>
              <w:right w:val="nil"/>
            </w:tcBorders>
          </w:tcPr>
          <w:p w14:paraId="5012238E"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2522,465</w:t>
            </w:r>
          </w:p>
        </w:tc>
        <w:tc>
          <w:tcPr>
            <w:tcW w:w="400" w:type="dxa"/>
            <w:tcBorders>
              <w:top w:val="nil"/>
              <w:left w:val="nil"/>
              <w:bottom w:val="nil"/>
              <w:right w:val="nil"/>
            </w:tcBorders>
          </w:tcPr>
          <w:p w14:paraId="62EAE29D"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pt-BR"/>
              </w:rPr>
            </w:pPr>
          </w:p>
        </w:tc>
        <w:tc>
          <w:tcPr>
            <w:tcW w:w="2500" w:type="dxa"/>
            <w:tcBorders>
              <w:top w:val="nil"/>
              <w:left w:val="nil"/>
              <w:bottom w:val="nil"/>
              <w:right w:val="nil"/>
            </w:tcBorders>
          </w:tcPr>
          <w:p w14:paraId="68048DAE" w14:textId="77777777" w:rsidR="00E4461B" w:rsidRPr="00A42604" w:rsidRDefault="00E4461B" w:rsidP="00E4461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P-</w:t>
            </w:r>
            <w:r w:rsidR="00A3455B" w:rsidRPr="00A42604">
              <w:rPr>
                <w:rFonts w:ascii="Times New Roman" w:eastAsia="Times New Roman" w:hAnsi="Times New Roman" w:cs="Times New Roman"/>
                <w:sz w:val="18"/>
                <w:szCs w:val="18"/>
                <w:lang w:eastAsia="pt-BR"/>
              </w:rPr>
              <w:t>valor (</w:t>
            </w:r>
            <w:r w:rsidRPr="00A42604">
              <w:rPr>
                <w:rFonts w:ascii="Times New Roman" w:eastAsia="Times New Roman" w:hAnsi="Times New Roman" w:cs="Times New Roman"/>
                <w:sz w:val="18"/>
                <w:szCs w:val="18"/>
                <w:lang w:eastAsia="pt-BR"/>
              </w:rPr>
              <w:t>F)</w:t>
            </w:r>
          </w:p>
        </w:tc>
        <w:tc>
          <w:tcPr>
            <w:tcW w:w="1300" w:type="dxa"/>
            <w:tcBorders>
              <w:top w:val="nil"/>
              <w:left w:val="nil"/>
              <w:bottom w:val="nil"/>
              <w:right w:val="nil"/>
            </w:tcBorders>
          </w:tcPr>
          <w:p w14:paraId="11BC3497"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3,94e-18</w:t>
            </w:r>
          </w:p>
        </w:tc>
      </w:tr>
      <w:tr w:rsidR="00A42604" w:rsidRPr="00A42604" w14:paraId="621F31EC" w14:textId="77777777" w:rsidTr="00E4461B">
        <w:trPr>
          <w:trHeight w:val="262"/>
          <w:jc w:val="center"/>
        </w:trPr>
        <w:tc>
          <w:tcPr>
            <w:tcW w:w="2530" w:type="dxa"/>
            <w:tcBorders>
              <w:top w:val="nil"/>
              <w:left w:val="nil"/>
              <w:bottom w:val="nil"/>
              <w:right w:val="nil"/>
            </w:tcBorders>
          </w:tcPr>
          <w:p w14:paraId="60B544DE" w14:textId="77777777" w:rsidR="00E4461B" w:rsidRPr="00A42604" w:rsidRDefault="00E4461B" w:rsidP="00A3455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Log da verossimilhan</w:t>
            </w:r>
            <w:r w:rsidR="00A3455B" w:rsidRPr="00A42604">
              <w:rPr>
                <w:rFonts w:ascii="Times New Roman" w:eastAsia="Times New Roman" w:hAnsi="Times New Roman" w:cs="Times New Roman"/>
                <w:sz w:val="18"/>
                <w:szCs w:val="18"/>
                <w:lang w:eastAsia="pt-BR"/>
              </w:rPr>
              <w:t>ç</w:t>
            </w:r>
            <w:r w:rsidRPr="00A42604">
              <w:rPr>
                <w:rFonts w:ascii="Times New Roman" w:eastAsia="Times New Roman" w:hAnsi="Times New Roman" w:cs="Times New Roman"/>
                <w:sz w:val="18"/>
                <w:szCs w:val="18"/>
                <w:lang w:eastAsia="pt-BR"/>
              </w:rPr>
              <w:t>a</w:t>
            </w:r>
          </w:p>
        </w:tc>
        <w:tc>
          <w:tcPr>
            <w:tcW w:w="1300" w:type="dxa"/>
            <w:tcBorders>
              <w:top w:val="nil"/>
              <w:left w:val="nil"/>
              <w:bottom w:val="nil"/>
              <w:right w:val="nil"/>
            </w:tcBorders>
          </w:tcPr>
          <w:p w14:paraId="251FE945"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29,95452</w:t>
            </w:r>
          </w:p>
        </w:tc>
        <w:tc>
          <w:tcPr>
            <w:tcW w:w="400" w:type="dxa"/>
            <w:tcBorders>
              <w:top w:val="nil"/>
              <w:left w:val="nil"/>
              <w:bottom w:val="nil"/>
              <w:right w:val="nil"/>
            </w:tcBorders>
          </w:tcPr>
          <w:p w14:paraId="5444AFC4" w14:textId="77777777" w:rsidR="00E4461B" w:rsidRPr="00A42604" w:rsidRDefault="00E4461B" w:rsidP="00E4461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pt-BR"/>
              </w:rPr>
            </w:pPr>
          </w:p>
        </w:tc>
        <w:tc>
          <w:tcPr>
            <w:tcW w:w="2500" w:type="dxa"/>
            <w:tcBorders>
              <w:top w:val="nil"/>
              <w:left w:val="nil"/>
              <w:bottom w:val="nil"/>
              <w:right w:val="nil"/>
            </w:tcBorders>
          </w:tcPr>
          <w:p w14:paraId="6A17D8C7" w14:textId="77777777" w:rsidR="00E4461B" w:rsidRPr="00A42604" w:rsidRDefault="00A3455B" w:rsidP="00E4461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Critério</w:t>
            </w:r>
            <w:r w:rsidR="00E4461B" w:rsidRPr="00A42604">
              <w:rPr>
                <w:rFonts w:ascii="Times New Roman" w:eastAsia="Times New Roman" w:hAnsi="Times New Roman" w:cs="Times New Roman"/>
                <w:sz w:val="18"/>
                <w:szCs w:val="18"/>
                <w:lang w:eastAsia="pt-BR"/>
              </w:rPr>
              <w:t xml:space="preserve"> de </w:t>
            </w:r>
            <w:proofErr w:type="spellStart"/>
            <w:r w:rsidR="00E4461B" w:rsidRPr="00A42604">
              <w:rPr>
                <w:rFonts w:ascii="Times New Roman" w:eastAsia="Times New Roman" w:hAnsi="Times New Roman" w:cs="Times New Roman"/>
                <w:sz w:val="18"/>
                <w:szCs w:val="18"/>
                <w:lang w:eastAsia="pt-BR"/>
              </w:rPr>
              <w:t>Akaike</w:t>
            </w:r>
            <w:proofErr w:type="spellEnd"/>
          </w:p>
        </w:tc>
        <w:tc>
          <w:tcPr>
            <w:tcW w:w="1300" w:type="dxa"/>
            <w:tcBorders>
              <w:top w:val="nil"/>
              <w:left w:val="nil"/>
              <w:bottom w:val="nil"/>
              <w:right w:val="nil"/>
            </w:tcBorders>
          </w:tcPr>
          <w:p w14:paraId="2FE43DAF" w14:textId="77777777" w:rsidR="00E4461B" w:rsidRPr="00A42604" w:rsidRDefault="00E4461B" w:rsidP="00E4461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55,90904</w:t>
            </w:r>
          </w:p>
        </w:tc>
      </w:tr>
      <w:tr w:rsidR="00A42604" w:rsidRPr="00A42604" w14:paraId="2DAEF8F9" w14:textId="77777777" w:rsidTr="00A309FA">
        <w:trPr>
          <w:trHeight w:val="262"/>
          <w:jc w:val="center"/>
        </w:trPr>
        <w:tc>
          <w:tcPr>
            <w:tcW w:w="2530" w:type="dxa"/>
            <w:tcBorders>
              <w:top w:val="nil"/>
              <w:left w:val="nil"/>
              <w:bottom w:val="single" w:sz="4" w:space="0" w:color="auto"/>
              <w:right w:val="nil"/>
            </w:tcBorders>
          </w:tcPr>
          <w:p w14:paraId="61CB1249" w14:textId="77777777" w:rsidR="00A3455B" w:rsidRPr="00A42604" w:rsidRDefault="00A3455B" w:rsidP="00A3455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Critério de Schwarz</w:t>
            </w:r>
          </w:p>
        </w:tc>
        <w:tc>
          <w:tcPr>
            <w:tcW w:w="1300" w:type="dxa"/>
            <w:tcBorders>
              <w:top w:val="nil"/>
              <w:left w:val="nil"/>
              <w:bottom w:val="single" w:sz="4" w:space="0" w:color="auto"/>
              <w:right w:val="nil"/>
            </w:tcBorders>
          </w:tcPr>
          <w:p w14:paraId="46895568" w14:textId="77777777" w:rsidR="00A3455B" w:rsidRPr="00A42604" w:rsidRDefault="00A3455B" w:rsidP="00A3455B">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54,24261</w:t>
            </w:r>
          </w:p>
        </w:tc>
        <w:tc>
          <w:tcPr>
            <w:tcW w:w="400" w:type="dxa"/>
            <w:tcBorders>
              <w:top w:val="nil"/>
              <w:left w:val="nil"/>
              <w:bottom w:val="single" w:sz="4" w:space="0" w:color="auto"/>
              <w:right w:val="nil"/>
            </w:tcBorders>
          </w:tcPr>
          <w:p w14:paraId="1D9E5D49" w14:textId="77777777" w:rsidR="00A3455B" w:rsidRPr="00A42604" w:rsidRDefault="00A3455B" w:rsidP="00A3455B">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pt-BR"/>
              </w:rPr>
            </w:pPr>
          </w:p>
        </w:tc>
        <w:tc>
          <w:tcPr>
            <w:tcW w:w="2500" w:type="dxa"/>
            <w:tcBorders>
              <w:top w:val="nil"/>
              <w:left w:val="nil"/>
              <w:bottom w:val="single" w:sz="4" w:space="0" w:color="auto"/>
              <w:right w:val="nil"/>
            </w:tcBorders>
          </w:tcPr>
          <w:p w14:paraId="5F6D7F93" w14:textId="77777777" w:rsidR="00A3455B" w:rsidRPr="00A42604" w:rsidRDefault="00A3455B" w:rsidP="00A3455B">
            <w:pPr>
              <w:widowControl w:val="0"/>
              <w:autoSpaceDE w:val="0"/>
              <w:autoSpaceDN w:val="0"/>
              <w:adjustRightInd w:val="0"/>
              <w:spacing w:after="0" w:line="240" w:lineRule="auto"/>
              <w:rPr>
                <w:rFonts w:ascii="Times New Roman" w:eastAsia="Times New Roman" w:hAnsi="Times New Roman" w:cs="Times New Roman"/>
                <w:sz w:val="18"/>
                <w:szCs w:val="18"/>
                <w:lang w:eastAsia="pt-BR"/>
              </w:rPr>
            </w:pPr>
            <w:proofErr w:type="spellStart"/>
            <w:r w:rsidRPr="00A42604">
              <w:rPr>
                <w:rFonts w:ascii="Times New Roman" w:eastAsia="Times New Roman" w:hAnsi="Times New Roman" w:cs="Times New Roman"/>
                <w:sz w:val="18"/>
                <w:szCs w:val="18"/>
                <w:lang w:eastAsia="pt-BR"/>
              </w:rPr>
              <w:t>Durbin</w:t>
            </w:r>
            <w:proofErr w:type="spellEnd"/>
            <w:r w:rsidRPr="00A42604">
              <w:rPr>
                <w:rFonts w:ascii="Times New Roman" w:eastAsia="Times New Roman" w:hAnsi="Times New Roman" w:cs="Times New Roman"/>
                <w:sz w:val="18"/>
                <w:szCs w:val="18"/>
                <w:lang w:eastAsia="pt-BR"/>
              </w:rPr>
              <w:t>-Watson</w:t>
            </w:r>
          </w:p>
        </w:tc>
        <w:tc>
          <w:tcPr>
            <w:tcW w:w="1300" w:type="dxa"/>
            <w:tcBorders>
              <w:top w:val="nil"/>
              <w:left w:val="nil"/>
              <w:bottom w:val="single" w:sz="4" w:space="0" w:color="auto"/>
              <w:right w:val="nil"/>
            </w:tcBorders>
          </w:tcPr>
          <w:p w14:paraId="06C4243D" w14:textId="62531321" w:rsidR="00A3455B" w:rsidRPr="00A42604" w:rsidRDefault="00A3455B" w:rsidP="00622629">
            <w:pPr>
              <w:widowControl w:val="0"/>
              <w:autoSpaceDE w:val="0"/>
              <w:autoSpaceDN w:val="0"/>
              <w:adjustRightInd w:val="0"/>
              <w:spacing w:after="0" w:line="240" w:lineRule="auto"/>
              <w:jc w:val="right"/>
              <w:rPr>
                <w:rFonts w:ascii="Times New Roman" w:eastAsia="Times New Roman" w:hAnsi="Times New Roman" w:cs="Times New Roman"/>
                <w:sz w:val="18"/>
                <w:szCs w:val="18"/>
                <w:lang w:eastAsia="pt-BR"/>
              </w:rPr>
            </w:pPr>
            <w:r w:rsidRPr="00A42604">
              <w:rPr>
                <w:rFonts w:ascii="Times New Roman" w:eastAsia="Times New Roman" w:hAnsi="Times New Roman" w:cs="Times New Roman"/>
                <w:sz w:val="18"/>
                <w:szCs w:val="18"/>
                <w:lang w:eastAsia="pt-BR"/>
              </w:rPr>
              <w:t xml:space="preserve"> 1,</w:t>
            </w:r>
            <w:r w:rsidR="00622629">
              <w:rPr>
                <w:rFonts w:ascii="Times New Roman" w:eastAsia="Times New Roman" w:hAnsi="Times New Roman" w:cs="Times New Roman"/>
                <w:sz w:val="18"/>
                <w:szCs w:val="18"/>
                <w:lang w:eastAsia="pt-BR"/>
              </w:rPr>
              <w:t>6</w:t>
            </w:r>
            <w:r w:rsidRPr="00A42604">
              <w:rPr>
                <w:rFonts w:ascii="Times New Roman" w:eastAsia="Times New Roman" w:hAnsi="Times New Roman" w:cs="Times New Roman"/>
                <w:sz w:val="18"/>
                <w:szCs w:val="18"/>
                <w:lang w:eastAsia="pt-BR"/>
              </w:rPr>
              <w:t>72245</w:t>
            </w:r>
          </w:p>
        </w:tc>
      </w:tr>
      <w:tr w:rsidR="00A42604" w:rsidRPr="00A42604" w14:paraId="62110635" w14:textId="77777777" w:rsidTr="00A309FA">
        <w:trPr>
          <w:trHeight w:val="262"/>
          <w:jc w:val="center"/>
        </w:trPr>
        <w:tc>
          <w:tcPr>
            <w:tcW w:w="2530" w:type="dxa"/>
            <w:tcBorders>
              <w:top w:val="single" w:sz="4" w:space="0" w:color="auto"/>
              <w:left w:val="nil"/>
              <w:bottom w:val="nil"/>
              <w:right w:val="nil"/>
            </w:tcBorders>
          </w:tcPr>
          <w:p w14:paraId="2C9246DE" w14:textId="6046F59B" w:rsidR="00A3455B" w:rsidRPr="00A42604" w:rsidRDefault="003F0CE2" w:rsidP="00483D2D">
            <w:pPr>
              <w:widowControl w:val="0"/>
              <w:autoSpaceDE w:val="0"/>
              <w:autoSpaceDN w:val="0"/>
              <w:adjustRightInd w:val="0"/>
              <w:spacing w:after="0" w:line="360" w:lineRule="auto"/>
              <w:rPr>
                <w:rFonts w:ascii="Gill Sans MT" w:eastAsia="Times New Roman" w:hAnsi="Gill Sans MT" w:cs="Times New Roman"/>
                <w:sz w:val="16"/>
                <w:szCs w:val="16"/>
                <w:lang w:eastAsia="pt-BR"/>
              </w:rPr>
            </w:pPr>
            <w:r w:rsidRPr="00A42604">
              <w:rPr>
                <w:rFonts w:ascii="Gill Sans MT" w:eastAsia="Times New Roman" w:hAnsi="Gill Sans MT" w:cs="Times New Roman"/>
                <w:sz w:val="16"/>
                <w:szCs w:val="16"/>
                <w:lang w:eastAsia="pt-BR"/>
              </w:rPr>
              <w:t xml:space="preserve">Fonte: elaboração do autor. </w:t>
            </w:r>
          </w:p>
          <w:p w14:paraId="02B58765" w14:textId="77777777" w:rsidR="003F0CE2" w:rsidRPr="00A42604" w:rsidRDefault="003F0CE2" w:rsidP="00483D2D">
            <w:pPr>
              <w:widowControl w:val="0"/>
              <w:autoSpaceDE w:val="0"/>
              <w:autoSpaceDN w:val="0"/>
              <w:adjustRightInd w:val="0"/>
              <w:spacing w:after="0" w:line="360" w:lineRule="auto"/>
              <w:rPr>
                <w:rFonts w:ascii="Gill Sans MT" w:eastAsia="Times New Roman" w:hAnsi="Gill Sans MT" w:cs="Times New Roman"/>
                <w:sz w:val="16"/>
                <w:szCs w:val="16"/>
                <w:lang w:eastAsia="pt-BR"/>
              </w:rPr>
            </w:pPr>
          </w:p>
        </w:tc>
        <w:tc>
          <w:tcPr>
            <w:tcW w:w="1300" w:type="dxa"/>
            <w:tcBorders>
              <w:top w:val="single" w:sz="4" w:space="0" w:color="auto"/>
              <w:left w:val="nil"/>
              <w:bottom w:val="nil"/>
              <w:right w:val="nil"/>
            </w:tcBorders>
          </w:tcPr>
          <w:p w14:paraId="0917F1E1" w14:textId="77777777" w:rsidR="00A3455B" w:rsidRPr="00A42604" w:rsidRDefault="00A3455B" w:rsidP="00483D2D">
            <w:pPr>
              <w:widowControl w:val="0"/>
              <w:autoSpaceDE w:val="0"/>
              <w:autoSpaceDN w:val="0"/>
              <w:adjustRightInd w:val="0"/>
              <w:spacing w:after="0" w:line="360" w:lineRule="auto"/>
              <w:jc w:val="right"/>
              <w:rPr>
                <w:rFonts w:ascii="Gill Sans MT" w:eastAsia="Times New Roman" w:hAnsi="Gill Sans MT" w:cs="Times New Roman"/>
                <w:sz w:val="16"/>
                <w:szCs w:val="16"/>
                <w:lang w:eastAsia="pt-BR"/>
              </w:rPr>
            </w:pPr>
          </w:p>
        </w:tc>
        <w:tc>
          <w:tcPr>
            <w:tcW w:w="400" w:type="dxa"/>
            <w:tcBorders>
              <w:top w:val="single" w:sz="4" w:space="0" w:color="auto"/>
              <w:left w:val="nil"/>
              <w:bottom w:val="nil"/>
              <w:right w:val="nil"/>
            </w:tcBorders>
          </w:tcPr>
          <w:p w14:paraId="76A70374" w14:textId="77777777" w:rsidR="00A3455B" w:rsidRPr="00A42604" w:rsidRDefault="00A3455B" w:rsidP="00483D2D">
            <w:pPr>
              <w:widowControl w:val="0"/>
              <w:autoSpaceDE w:val="0"/>
              <w:autoSpaceDN w:val="0"/>
              <w:adjustRightInd w:val="0"/>
              <w:spacing w:after="0" w:line="360" w:lineRule="auto"/>
              <w:jc w:val="center"/>
              <w:rPr>
                <w:rFonts w:ascii="Gill Sans MT" w:eastAsia="Times New Roman" w:hAnsi="Gill Sans MT" w:cs="Times New Roman"/>
                <w:sz w:val="16"/>
                <w:szCs w:val="16"/>
                <w:lang w:eastAsia="pt-BR"/>
              </w:rPr>
            </w:pPr>
          </w:p>
        </w:tc>
        <w:tc>
          <w:tcPr>
            <w:tcW w:w="2500" w:type="dxa"/>
            <w:tcBorders>
              <w:top w:val="single" w:sz="4" w:space="0" w:color="auto"/>
              <w:left w:val="nil"/>
              <w:bottom w:val="nil"/>
              <w:right w:val="nil"/>
            </w:tcBorders>
          </w:tcPr>
          <w:p w14:paraId="003C6B40" w14:textId="77777777" w:rsidR="00A3455B" w:rsidRPr="00A42604" w:rsidRDefault="00A3455B" w:rsidP="00483D2D">
            <w:pPr>
              <w:widowControl w:val="0"/>
              <w:autoSpaceDE w:val="0"/>
              <w:autoSpaceDN w:val="0"/>
              <w:adjustRightInd w:val="0"/>
              <w:spacing w:after="0" w:line="360" w:lineRule="auto"/>
              <w:rPr>
                <w:rFonts w:ascii="Gill Sans MT" w:eastAsia="Times New Roman" w:hAnsi="Gill Sans MT" w:cs="Times New Roman"/>
                <w:sz w:val="16"/>
                <w:szCs w:val="16"/>
                <w:lang w:eastAsia="pt-BR"/>
              </w:rPr>
            </w:pPr>
          </w:p>
        </w:tc>
        <w:tc>
          <w:tcPr>
            <w:tcW w:w="1300" w:type="dxa"/>
            <w:tcBorders>
              <w:top w:val="single" w:sz="4" w:space="0" w:color="auto"/>
              <w:left w:val="nil"/>
              <w:bottom w:val="nil"/>
              <w:right w:val="nil"/>
            </w:tcBorders>
          </w:tcPr>
          <w:p w14:paraId="28EB3305" w14:textId="77777777" w:rsidR="00A3455B" w:rsidRPr="00A42604" w:rsidRDefault="00A3455B" w:rsidP="00483D2D">
            <w:pPr>
              <w:widowControl w:val="0"/>
              <w:autoSpaceDE w:val="0"/>
              <w:autoSpaceDN w:val="0"/>
              <w:adjustRightInd w:val="0"/>
              <w:spacing w:after="0" w:line="360" w:lineRule="auto"/>
              <w:jc w:val="right"/>
              <w:rPr>
                <w:rFonts w:ascii="Gill Sans MT" w:eastAsia="Times New Roman" w:hAnsi="Gill Sans MT" w:cs="Times New Roman"/>
                <w:sz w:val="16"/>
                <w:szCs w:val="16"/>
                <w:lang w:eastAsia="pt-BR"/>
              </w:rPr>
            </w:pPr>
          </w:p>
        </w:tc>
      </w:tr>
    </w:tbl>
    <w:p w14:paraId="4227FABE" w14:textId="0A5205C0" w:rsidR="00C917AD" w:rsidRPr="00A42604" w:rsidRDefault="00A309FA" w:rsidP="00483D2D">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Esse fato nos leva a discutir não tão somente </w:t>
      </w:r>
      <w:r w:rsidR="00EA57C3" w:rsidRPr="00A42604">
        <w:rPr>
          <w:rFonts w:ascii="Gill Sans MT" w:hAnsi="Gill Sans MT" w:cs="Times New Roman"/>
          <w:sz w:val="24"/>
          <w:szCs w:val="24"/>
        </w:rPr>
        <w:t xml:space="preserve">o desempenho na arrecadação do tributo em si, </w:t>
      </w:r>
      <w:r w:rsidRPr="00A42604">
        <w:rPr>
          <w:rFonts w:ascii="Gill Sans MT" w:hAnsi="Gill Sans MT" w:cs="Times New Roman"/>
          <w:sz w:val="24"/>
          <w:szCs w:val="24"/>
        </w:rPr>
        <w:t>mas sim crescimento econômico como fator chave na melhora da arrecadação ao longo do tempo, ainda mais ao se considerar o fato de que a elasticidade ICMS-PIB é</w:t>
      </w:r>
      <w:r w:rsidR="0008725F" w:rsidRPr="00A42604">
        <w:rPr>
          <w:rFonts w:ascii="Gill Sans MT" w:hAnsi="Gill Sans MT" w:cs="Times New Roman"/>
          <w:sz w:val="24"/>
          <w:szCs w:val="24"/>
        </w:rPr>
        <w:t xml:space="preserve"> </w:t>
      </w:r>
      <w:r w:rsidRPr="00A42604">
        <w:rPr>
          <w:rFonts w:ascii="Gill Sans MT" w:hAnsi="Gill Sans MT" w:cs="Times New Roman"/>
          <w:sz w:val="24"/>
          <w:szCs w:val="24"/>
        </w:rPr>
        <w:t>superior à unidade, ou seja, a arrecadação cresceu mais que proporcionalmente ao PIB nos últimos anos</w:t>
      </w:r>
      <w:r w:rsidRPr="00A42604">
        <w:rPr>
          <w:rStyle w:val="Refdenotaderodap"/>
          <w:rFonts w:ascii="Gill Sans MT" w:hAnsi="Gill Sans MT" w:cs="Times New Roman"/>
          <w:sz w:val="24"/>
          <w:szCs w:val="24"/>
        </w:rPr>
        <w:footnoteReference w:id="4"/>
      </w:r>
      <w:r w:rsidR="00EC4CD4" w:rsidRPr="00A42604">
        <w:rPr>
          <w:rFonts w:ascii="Gill Sans MT" w:hAnsi="Gill Sans MT" w:cs="Times New Roman"/>
          <w:sz w:val="24"/>
          <w:szCs w:val="24"/>
        </w:rPr>
        <w:t xml:space="preserve">, como pode ser observado no gráfico </w:t>
      </w:r>
      <w:r w:rsidR="00E84EBB" w:rsidRPr="00A42604">
        <w:rPr>
          <w:rFonts w:ascii="Gill Sans MT" w:hAnsi="Gill Sans MT" w:cs="Times New Roman"/>
          <w:sz w:val="24"/>
          <w:szCs w:val="24"/>
        </w:rPr>
        <w:t>3</w:t>
      </w:r>
      <w:r w:rsidR="00EC4CD4" w:rsidRPr="00A42604">
        <w:rPr>
          <w:rFonts w:ascii="Gill Sans MT" w:hAnsi="Gill Sans MT" w:cs="Times New Roman"/>
          <w:sz w:val="24"/>
          <w:szCs w:val="24"/>
        </w:rPr>
        <w:t>, abaixo:</w:t>
      </w:r>
    </w:p>
    <w:p w14:paraId="52FC42BD" w14:textId="77777777" w:rsidR="00576C92" w:rsidRPr="005801D3" w:rsidRDefault="00C917AD" w:rsidP="00576C92">
      <w:pPr>
        <w:ind w:left="708" w:right="565" w:firstLine="426"/>
        <w:jc w:val="center"/>
        <w:rPr>
          <w:rFonts w:ascii="Gill Sans MT" w:eastAsia="Times New Roman" w:hAnsi="Gill Sans MT" w:cs="Times New Roman"/>
          <w:b/>
          <w:sz w:val="24"/>
          <w:szCs w:val="24"/>
          <w:lang w:eastAsia="pt-BR"/>
        </w:rPr>
      </w:pPr>
      <w:r w:rsidRPr="005801D3">
        <w:rPr>
          <w:rFonts w:ascii="Gill Sans MT" w:eastAsia="Times New Roman" w:hAnsi="Gill Sans MT" w:cs="Times New Roman"/>
          <w:b/>
          <w:sz w:val="24"/>
          <w:szCs w:val="24"/>
          <w:lang w:eastAsia="pt-BR"/>
        </w:rPr>
        <w:lastRenderedPageBreak/>
        <w:t xml:space="preserve">Gráfico </w:t>
      </w:r>
      <w:r w:rsidR="00E84EBB" w:rsidRPr="005801D3">
        <w:rPr>
          <w:rFonts w:ascii="Gill Sans MT" w:eastAsia="Times New Roman" w:hAnsi="Gill Sans MT" w:cs="Times New Roman"/>
          <w:b/>
          <w:sz w:val="24"/>
          <w:szCs w:val="24"/>
          <w:lang w:eastAsia="pt-BR"/>
        </w:rPr>
        <w:t>3</w:t>
      </w:r>
      <w:r w:rsidRPr="005801D3">
        <w:rPr>
          <w:rFonts w:ascii="Gill Sans MT" w:eastAsia="Times New Roman" w:hAnsi="Gill Sans MT" w:cs="Times New Roman"/>
          <w:b/>
          <w:sz w:val="24"/>
          <w:szCs w:val="24"/>
          <w:lang w:eastAsia="pt-BR"/>
        </w:rPr>
        <w:t>: Produto Interno Bruto e ICMS do Rio Grande do Sul – valores nominais 1999-2015</w:t>
      </w:r>
    </w:p>
    <w:p w14:paraId="3901D569" w14:textId="3299315D" w:rsidR="003F0CE2" w:rsidRPr="00576C92" w:rsidRDefault="00285071" w:rsidP="00576C92">
      <w:pPr>
        <w:rPr>
          <w:rFonts w:ascii="Gill Sans MT" w:hAnsi="Gill Sans MT"/>
          <w:sz w:val="16"/>
          <w:szCs w:val="16"/>
          <w:lang w:eastAsia="pt-BR"/>
        </w:rPr>
      </w:pPr>
      <w:r w:rsidRPr="00A42604">
        <w:rPr>
          <w:noProof/>
          <w:lang w:eastAsia="pt-BR"/>
        </w:rPr>
        <w:drawing>
          <wp:inline distT="0" distB="0" distL="0" distR="0" wp14:anchorId="768D280D" wp14:editId="7844868A">
            <wp:extent cx="5801995" cy="1940858"/>
            <wp:effectExtent l="0" t="0" r="8255" b="25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F0CE2" w:rsidRPr="00576C92">
        <w:rPr>
          <w:rFonts w:ascii="Gill Sans MT" w:hAnsi="Gill Sans MT"/>
          <w:sz w:val="16"/>
          <w:szCs w:val="16"/>
          <w:lang w:eastAsia="pt-BR"/>
        </w:rPr>
        <w:t>Fonte: elaboração do autor com dados da SEFAZ-RS e da FEE.</w:t>
      </w:r>
    </w:p>
    <w:p w14:paraId="6EB9DE22" w14:textId="77777777" w:rsidR="009104D6" w:rsidRPr="00A42604" w:rsidRDefault="009104D6" w:rsidP="00811FEB">
      <w:pPr>
        <w:widowControl w:val="0"/>
        <w:autoSpaceDE w:val="0"/>
        <w:autoSpaceDN w:val="0"/>
        <w:adjustRightInd w:val="0"/>
        <w:spacing w:after="0" w:line="240" w:lineRule="auto"/>
        <w:rPr>
          <w:rFonts w:ascii="Gill Sans MT" w:eastAsia="Times New Roman" w:hAnsi="Gill Sans MT" w:cs="Times New Roman"/>
          <w:sz w:val="16"/>
          <w:szCs w:val="16"/>
          <w:lang w:eastAsia="pt-BR"/>
        </w:rPr>
      </w:pPr>
    </w:p>
    <w:p w14:paraId="1664F02B" w14:textId="44F39996" w:rsidR="001B67F6" w:rsidRPr="00A42604" w:rsidRDefault="001B67F6" w:rsidP="005731DD">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O crescimento do PIB gaúcho depende de fatores externos e internos. Entre os fatores externos, têm-se os efeitos da política econômica determinada em âmbito nacional, o desempenho econômico de países com os quais o </w:t>
      </w:r>
      <w:r w:rsidR="0008725F" w:rsidRPr="00A42604">
        <w:rPr>
          <w:rFonts w:ascii="Gill Sans MT" w:hAnsi="Gill Sans MT" w:cs="Times New Roman"/>
          <w:sz w:val="24"/>
          <w:szCs w:val="24"/>
        </w:rPr>
        <w:t>e</w:t>
      </w:r>
      <w:r w:rsidRPr="00A42604">
        <w:rPr>
          <w:rFonts w:ascii="Gill Sans MT" w:hAnsi="Gill Sans MT" w:cs="Times New Roman"/>
          <w:sz w:val="24"/>
          <w:szCs w:val="24"/>
        </w:rPr>
        <w:t xml:space="preserve">stado realiza comércio e o desempenho das exportações interestaduais. E entre os fatores internos, destaca-se o desempenho das atividades econômicas </w:t>
      </w:r>
      <w:r w:rsidR="00BE6444" w:rsidRPr="00A42604">
        <w:rPr>
          <w:rFonts w:ascii="Gill Sans MT" w:hAnsi="Gill Sans MT" w:cs="Times New Roman"/>
          <w:sz w:val="24"/>
          <w:szCs w:val="24"/>
        </w:rPr>
        <w:t>localizadas no estado, a pecuária, os serviços e principalmente a indústria e a agricultura.</w:t>
      </w:r>
    </w:p>
    <w:p w14:paraId="395E5EFD" w14:textId="77777777" w:rsidR="00BE6444" w:rsidRPr="00A42604" w:rsidRDefault="001D1EA6" w:rsidP="005731DD">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É</w:t>
      </w:r>
      <w:r w:rsidR="00BE6444" w:rsidRPr="00A42604">
        <w:rPr>
          <w:rFonts w:ascii="Gill Sans MT" w:hAnsi="Gill Sans MT" w:cs="Times New Roman"/>
          <w:sz w:val="24"/>
          <w:szCs w:val="24"/>
        </w:rPr>
        <w:t xml:space="preserve"> fato conhecido que o desempenho do crescimento econômico em nosso estado é fortemente dependente da indústria de transformação e da agropecuária, setores que, apesar de possuírem baixa participação no PIB como um todo, possuem fortes ligações para </w:t>
      </w:r>
      <w:r w:rsidRPr="00A42604">
        <w:rPr>
          <w:rFonts w:ascii="Gill Sans MT" w:hAnsi="Gill Sans MT" w:cs="Times New Roman"/>
          <w:sz w:val="24"/>
          <w:szCs w:val="24"/>
        </w:rPr>
        <w:t>trás</w:t>
      </w:r>
      <w:r w:rsidR="00BE6444" w:rsidRPr="00A42604">
        <w:rPr>
          <w:rFonts w:ascii="Gill Sans MT" w:hAnsi="Gill Sans MT" w:cs="Times New Roman"/>
          <w:sz w:val="24"/>
          <w:szCs w:val="24"/>
        </w:rPr>
        <w:t xml:space="preserve"> e </w:t>
      </w:r>
      <w:r w:rsidRPr="00A42604">
        <w:rPr>
          <w:rFonts w:ascii="Gill Sans MT" w:hAnsi="Gill Sans MT" w:cs="Times New Roman"/>
          <w:sz w:val="24"/>
          <w:szCs w:val="24"/>
        </w:rPr>
        <w:t>para</w:t>
      </w:r>
      <w:r w:rsidR="00BE6444" w:rsidRPr="00A42604">
        <w:rPr>
          <w:rFonts w:ascii="Gill Sans MT" w:hAnsi="Gill Sans MT" w:cs="Times New Roman"/>
          <w:sz w:val="24"/>
          <w:szCs w:val="24"/>
        </w:rPr>
        <w:t xml:space="preserve"> frente com setores chaves da economia</w:t>
      </w:r>
      <w:r w:rsidR="00D02D52" w:rsidRPr="00A42604">
        <w:rPr>
          <w:rStyle w:val="Refdenotaderodap"/>
          <w:rFonts w:ascii="Gill Sans MT" w:hAnsi="Gill Sans MT" w:cs="Times New Roman"/>
          <w:sz w:val="24"/>
          <w:szCs w:val="24"/>
        </w:rPr>
        <w:footnoteReference w:id="5"/>
      </w:r>
      <w:r w:rsidR="00BE6444" w:rsidRPr="00A42604">
        <w:rPr>
          <w:rFonts w:ascii="Gill Sans MT" w:hAnsi="Gill Sans MT" w:cs="Times New Roman"/>
          <w:sz w:val="24"/>
          <w:szCs w:val="24"/>
        </w:rPr>
        <w:t xml:space="preserve">, gerando efeitos diretos e </w:t>
      </w:r>
      <w:r w:rsidRPr="00A42604">
        <w:rPr>
          <w:rFonts w:ascii="Gill Sans MT" w:hAnsi="Gill Sans MT" w:cs="Times New Roman"/>
          <w:sz w:val="24"/>
          <w:szCs w:val="24"/>
        </w:rPr>
        <w:t>indiretos</w:t>
      </w:r>
      <w:r w:rsidR="00BE6444" w:rsidRPr="00A42604">
        <w:rPr>
          <w:rFonts w:ascii="Gill Sans MT" w:hAnsi="Gill Sans MT" w:cs="Times New Roman"/>
          <w:sz w:val="24"/>
          <w:szCs w:val="24"/>
        </w:rPr>
        <w:t xml:space="preserve"> (</w:t>
      </w:r>
      <w:r w:rsidR="00BE6444" w:rsidRPr="00A42604">
        <w:rPr>
          <w:rFonts w:ascii="Gill Sans MT" w:hAnsi="Gill Sans MT" w:cs="Times New Roman"/>
          <w:i/>
          <w:sz w:val="24"/>
          <w:szCs w:val="24"/>
        </w:rPr>
        <w:t>spillovers</w:t>
      </w:r>
      <w:r w:rsidR="00BE6444" w:rsidRPr="00A42604">
        <w:rPr>
          <w:rFonts w:ascii="Gill Sans MT" w:hAnsi="Gill Sans MT" w:cs="Times New Roman"/>
          <w:sz w:val="24"/>
          <w:szCs w:val="24"/>
        </w:rPr>
        <w:t xml:space="preserve">) sobre </w:t>
      </w:r>
      <w:r w:rsidR="00B560BC" w:rsidRPr="00A42604">
        <w:rPr>
          <w:rFonts w:ascii="Gill Sans MT" w:hAnsi="Gill Sans MT" w:cs="Times New Roman"/>
          <w:sz w:val="24"/>
          <w:szCs w:val="24"/>
        </w:rPr>
        <w:t>outros</w:t>
      </w:r>
      <w:r w:rsidR="00BE6444" w:rsidRPr="00A42604">
        <w:rPr>
          <w:rFonts w:ascii="Gill Sans MT" w:hAnsi="Gill Sans MT" w:cs="Times New Roman"/>
          <w:sz w:val="24"/>
          <w:szCs w:val="24"/>
        </w:rPr>
        <w:t xml:space="preserve"> setores e sobre a renda da população como um todo.</w:t>
      </w:r>
      <w:r w:rsidRPr="00A42604">
        <w:rPr>
          <w:rFonts w:ascii="Gill Sans MT" w:hAnsi="Gill Sans MT" w:cs="Times New Roman"/>
          <w:sz w:val="24"/>
          <w:szCs w:val="24"/>
        </w:rPr>
        <w:t xml:space="preserve"> Tanto a produção como a produtividade dos setores agropecuários estão </w:t>
      </w:r>
      <w:r w:rsidR="00B560BC" w:rsidRPr="00A42604">
        <w:rPr>
          <w:rFonts w:ascii="Gill Sans MT" w:hAnsi="Gill Sans MT" w:cs="Times New Roman"/>
          <w:sz w:val="24"/>
          <w:szCs w:val="24"/>
        </w:rPr>
        <w:t>sujeitas</w:t>
      </w:r>
      <w:r w:rsidRPr="00A42604">
        <w:rPr>
          <w:rFonts w:ascii="Gill Sans MT" w:hAnsi="Gill Sans MT" w:cs="Times New Roman"/>
          <w:sz w:val="24"/>
          <w:szCs w:val="24"/>
        </w:rPr>
        <w:t xml:space="preserve"> à </w:t>
      </w:r>
      <w:r w:rsidR="00B560BC" w:rsidRPr="00A42604">
        <w:rPr>
          <w:rFonts w:ascii="Gill Sans MT" w:hAnsi="Gill Sans MT" w:cs="Times New Roman"/>
          <w:sz w:val="24"/>
          <w:szCs w:val="24"/>
        </w:rPr>
        <w:t>fortes</w:t>
      </w:r>
      <w:r w:rsidRPr="00A42604">
        <w:rPr>
          <w:rFonts w:ascii="Gill Sans MT" w:hAnsi="Gill Sans MT" w:cs="Times New Roman"/>
          <w:sz w:val="24"/>
          <w:szCs w:val="24"/>
        </w:rPr>
        <w:t xml:space="preserve"> variações </w:t>
      </w:r>
      <w:r w:rsidR="00B560BC" w:rsidRPr="00A42604">
        <w:rPr>
          <w:rFonts w:ascii="Gill Sans MT" w:hAnsi="Gill Sans MT" w:cs="Times New Roman"/>
          <w:sz w:val="24"/>
          <w:szCs w:val="24"/>
        </w:rPr>
        <w:t xml:space="preserve">climáticas de um ano para o outro, gerando impactos na produção desses setores o que acaba por gerar impacto direto sobre o PIB em anos de estiagem e consequentemente sobre as </w:t>
      </w:r>
      <w:r w:rsidR="00737CD6" w:rsidRPr="00A42604">
        <w:rPr>
          <w:rFonts w:ascii="Gill Sans MT" w:hAnsi="Gill Sans MT" w:cs="Times New Roman"/>
          <w:sz w:val="24"/>
          <w:szCs w:val="24"/>
        </w:rPr>
        <w:t>receitas</w:t>
      </w:r>
      <w:r w:rsidR="00B560BC" w:rsidRPr="00A42604">
        <w:rPr>
          <w:rFonts w:ascii="Gill Sans MT" w:hAnsi="Gill Sans MT" w:cs="Times New Roman"/>
          <w:sz w:val="24"/>
          <w:szCs w:val="24"/>
        </w:rPr>
        <w:t xml:space="preserve"> do estado.</w:t>
      </w:r>
    </w:p>
    <w:p w14:paraId="746EE0AE" w14:textId="2811C63C" w:rsidR="00B560BC" w:rsidRPr="00A42604" w:rsidRDefault="00616DB7" w:rsidP="005731DD">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lastRenderedPageBreak/>
        <w:t>Quanto à indústria de transformação, conforme</w:t>
      </w:r>
      <w:r w:rsidR="006823EB" w:rsidRPr="00A42604">
        <w:rPr>
          <w:rFonts w:ascii="Gill Sans MT" w:hAnsi="Gill Sans MT" w:cs="Times New Roman"/>
          <w:sz w:val="24"/>
          <w:szCs w:val="24"/>
        </w:rPr>
        <w:t xml:space="preserve"> Marques Jr</w:t>
      </w:r>
      <w:r w:rsidR="00622629">
        <w:rPr>
          <w:rFonts w:ascii="Gill Sans MT" w:hAnsi="Gill Sans MT" w:cs="Times New Roman"/>
          <w:sz w:val="24"/>
          <w:szCs w:val="24"/>
        </w:rPr>
        <w:t>.</w:t>
      </w:r>
      <w:r w:rsidR="006823EB" w:rsidRPr="00A42604">
        <w:rPr>
          <w:rFonts w:ascii="Gill Sans MT" w:hAnsi="Gill Sans MT" w:cs="Times New Roman"/>
          <w:sz w:val="24"/>
          <w:szCs w:val="24"/>
        </w:rPr>
        <w:t xml:space="preserve"> e Oliveira (2015)</w:t>
      </w:r>
      <w:r w:rsidRPr="00A42604">
        <w:rPr>
          <w:rFonts w:ascii="Gill Sans MT" w:hAnsi="Gill Sans MT" w:cs="Times New Roman"/>
          <w:sz w:val="24"/>
          <w:szCs w:val="24"/>
        </w:rPr>
        <w:t xml:space="preserve">, no RS ela apresenta duas características marcantes: primeira, é fortemente dependente do mercado externo (quedas nas exportações </w:t>
      </w:r>
      <w:r w:rsidR="00CE3A42" w:rsidRPr="00A42604">
        <w:rPr>
          <w:rFonts w:ascii="Gill Sans MT" w:hAnsi="Gill Sans MT" w:cs="Times New Roman"/>
          <w:sz w:val="24"/>
          <w:szCs w:val="24"/>
        </w:rPr>
        <w:t xml:space="preserve">prejudicam </w:t>
      </w:r>
      <w:r w:rsidRPr="00A42604">
        <w:rPr>
          <w:rFonts w:ascii="Gill Sans MT" w:hAnsi="Gill Sans MT" w:cs="Times New Roman"/>
          <w:sz w:val="24"/>
          <w:szCs w:val="24"/>
        </w:rPr>
        <w:t>o produto industrial); e a segunda, em razão da ligação entre as atividades manufatureiras e o setor primário, o desempenho do produto industrial é bastante influenciado pelo comportamento do setor agropecuário. As maiores reduções de produção industrial ocorreram nos anos de 1998, 2005 e 2009, e estão relacionadas, respectivamente, à Crise Russa, à quebra de safra e à crise da economia mundial em decorrência das crises financeira e bancária nos Estados Unidos.</w:t>
      </w:r>
    </w:p>
    <w:p w14:paraId="5CAE6C12" w14:textId="54D1A176" w:rsidR="00A82627" w:rsidRPr="00A42604" w:rsidRDefault="003D44A0" w:rsidP="005B775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Assim, a recente </w:t>
      </w:r>
      <w:r w:rsidR="00AC6CDE" w:rsidRPr="00A42604">
        <w:rPr>
          <w:rFonts w:ascii="Gill Sans MT" w:hAnsi="Gill Sans MT" w:cs="Times New Roman"/>
          <w:sz w:val="24"/>
          <w:szCs w:val="24"/>
        </w:rPr>
        <w:t xml:space="preserve">deterioração nas condições da economia gaúcha tem </w:t>
      </w:r>
      <w:r w:rsidR="00A532C3" w:rsidRPr="00A42604">
        <w:rPr>
          <w:rFonts w:ascii="Gill Sans MT" w:hAnsi="Gill Sans MT" w:cs="Times New Roman"/>
          <w:sz w:val="24"/>
          <w:szCs w:val="24"/>
        </w:rPr>
        <w:t xml:space="preserve">condicionado, </w:t>
      </w:r>
      <w:r w:rsidR="00FE21D6" w:rsidRPr="00A42604">
        <w:rPr>
          <w:rFonts w:ascii="Gill Sans MT" w:hAnsi="Gill Sans MT" w:cs="Times New Roman"/>
          <w:sz w:val="24"/>
          <w:szCs w:val="24"/>
        </w:rPr>
        <w:t>portanto</w:t>
      </w:r>
      <w:r w:rsidR="00A532C3" w:rsidRPr="00A42604">
        <w:rPr>
          <w:rFonts w:ascii="Gill Sans MT" w:hAnsi="Gill Sans MT" w:cs="Times New Roman"/>
          <w:sz w:val="24"/>
          <w:szCs w:val="24"/>
        </w:rPr>
        <w:t>, as fontes de receita do estado</w:t>
      </w:r>
      <w:r w:rsidRPr="00A42604">
        <w:rPr>
          <w:rFonts w:ascii="Gill Sans MT" w:hAnsi="Gill Sans MT" w:cs="Times New Roman"/>
          <w:sz w:val="24"/>
          <w:szCs w:val="24"/>
        </w:rPr>
        <w:t>, em especial as receitas tributárias</w:t>
      </w:r>
      <w:r w:rsidR="00A532C3" w:rsidRPr="00A42604">
        <w:rPr>
          <w:rFonts w:ascii="Gill Sans MT" w:hAnsi="Gill Sans MT" w:cs="Times New Roman"/>
          <w:sz w:val="24"/>
          <w:szCs w:val="24"/>
        </w:rPr>
        <w:t xml:space="preserve">. Observa-se </w:t>
      </w:r>
      <w:r w:rsidR="00FE21D6" w:rsidRPr="00A42604">
        <w:rPr>
          <w:rFonts w:ascii="Gill Sans MT" w:hAnsi="Gill Sans MT" w:cs="Times New Roman"/>
          <w:sz w:val="24"/>
          <w:szCs w:val="24"/>
        </w:rPr>
        <w:t>claramente</w:t>
      </w:r>
      <w:r w:rsidR="00A532C3" w:rsidRPr="00A42604">
        <w:rPr>
          <w:rFonts w:ascii="Gill Sans MT" w:hAnsi="Gill Sans MT" w:cs="Times New Roman"/>
          <w:sz w:val="24"/>
          <w:szCs w:val="24"/>
        </w:rPr>
        <w:t xml:space="preserve"> </w:t>
      </w:r>
      <w:r w:rsidR="00882975" w:rsidRPr="00A42604">
        <w:rPr>
          <w:rFonts w:ascii="Gill Sans MT" w:hAnsi="Gill Sans MT" w:cs="Times New Roman"/>
          <w:sz w:val="24"/>
          <w:szCs w:val="24"/>
        </w:rPr>
        <w:t xml:space="preserve">no gráfico 4, </w:t>
      </w:r>
      <w:r w:rsidR="00A532C3" w:rsidRPr="00A42604">
        <w:rPr>
          <w:rFonts w:ascii="Gill Sans MT" w:hAnsi="Gill Sans MT" w:cs="Times New Roman"/>
          <w:sz w:val="24"/>
          <w:szCs w:val="24"/>
        </w:rPr>
        <w:t>pela evolução da receita real</w:t>
      </w:r>
      <w:r w:rsidR="00882975" w:rsidRPr="00A42604">
        <w:rPr>
          <w:rFonts w:ascii="Gill Sans MT" w:hAnsi="Gill Sans MT" w:cs="Times New Roman"/>
          <w:sz w:val="24"/>
          <w:szCs w:val="24"/>
        </w:rPr>
        <w:t>,</w:t>
      </w:r>
      <w:r w:rsidR="00A532C3" w:rsidRPr="00A42604">
        <w:rPr>
          <w:rFonts w:ascii="Gill Sans MT" w:hAnsi="Gill Sans MT" w:cs="Times New Roman"/>
          <w:sz w:val="24"/>
          <w:szCs w:val="24"/>
        </w:rPr>
        <w:t xml:space="preserve"> que depois de um período exuberante de crescimento, </w:t>
      </w:r>
      <w:r w:rsidR="00FE21D6" w:rsidRPr="00A42604">
        <w:rPr>
          <w:rFonts w:ascii="Gill Sans MT" w:hAnsi="Gill Sans MT" w:cs="Times New Roman"/>
          <w:sz w:val="24"/>
          <w:szCs w:val="24"/>
        </w:rPr>
        <w:t>m</w:t>
      </w:r>
      <w:r w:rsidR="008B3CA5" w:rsidRPr="00A42604">
        <w:rPr>
          <w:rFonts w:ascii="Gill Sans MT" w:hAnsi="Gill Sans MT" w:cs="Times New Roman"/>
          <w:sz w:val="24"/>
          <w:szCs w:val="24"/>
        </w:rPr>
        <w:t>a</w:t>
      </w:r>
      <w:r w:rsidR="00FE21D6" w:rsidRPr="00A42604">
        <w:rPr>
          <w:rFonts w:ascii="Gill Sans MT" w:hAnsi="Gill Sans MT" w:cs="Times New Roman"/>
          <w:sz w:val="24"/>
          <w:szCs w:val="24"/>
        </w:rPr>
        <w:t>is recentemente as receitas t</w:t>
      </w:r>
      <w:r w:rsidR="00A5688C">
        <w:rPr>
          <w:rFonts w:ascii="Gill Sans MT" w:hAnsi="Gill Sans MT" w:cs="Times New Roman"/>
          <w:sz w:val="24"/>
          <w:szCs w:val="24"/>
        </w:rPr>
        <w:t>ê</w:t>
      </w:r>
      <w:r w:rsidR="00FE21D6" w:rsidRPr="00A42604">
        <w:rPr>
          <w:rFonts w:ascii="Gill Sans MT" w:hAnsi="Gill Sans MT" w:cs="Times New Roman"/>
          <w:sz w:val="24"/>
          <w:szCs w:val="24"/>
        </w:rPr>
        <w:t xml:space="preserve">m </w:t>
      </w:r>
      <w:r w:rsidR="0045636C" w:rsidRPr="00A42604">
        <w:rPr>
          <w:rFonts w:ascii="Gill Sans MT" w:hAnsi="Gill Sans MT" w:cs="Times New Roman"/>
          <w:sz w:val="24"/>
          <w:szCs w:val="24"/>
        </w:rPr>
        <w:t>mostrado</w:t>
      </w:r>
      <w:r w:rsidR="00FE21D6" w:rsidRPr="00A42604">
        <w:rPr>
          <w:rFonts w:ascii="Gill Sans MT" w:hAnsi="Gill Sans MT" w:cs="Times New Roman"/>
          <w:sz w:val="24"/>
          <w:szCs w:val="24"/>
        </w:rPr>
        <w:t xml:space="preserve"> desempenho </w:t>
      </w:r>
      <w:r w:rsidR="0045636C" w:rsidRPr="00A42604">
        <w:rPr>
          <w:rFonts w:ascii="Gill Sans MT" w:hAnsi="Gill Sans MT" w:cs="Times New Roman"/>
          <w:sz w:val="24"/>
          <w:szCs w:val="24"/>
        </w:rPr>
        <w:t>bastante inferior às condições apresentadas entre 2004 e 2010.</w:t>
      </w:r>
    </w:p>
    <w:p w14:paraId="2A74C7EE" w14:textId="040E066D" w:rsidR="0045636C" w:rsidRPr="00A42604" w:rsidRDefault="0045636C" w:rsidP="005B7755">
      <w:pPr>
        <w:jc w:val="center"/>
        <w:rPr>
          <w:rFonts w:ascii="Gill Sans MT" w:hAnsi="Gill Sans MT" w:cs="Times New Roman"/>
          <w:b/>
          <w:sz w:val="24"/>
          <w:szCs w:val="24"/>
        </w:rPr>
      </w:pPr>
      <w:r w:rsidRPr="00A42604">
        <w:rPr>
          <w:rFonts w:ascii="Gill Sans MT" w:hAnsi="Gill Sans MT" w:cs="Times New Roman"/>
          <w:b/>
          <w:sz w:val="24"/>
          <w:szCs w:val="24"/>
        </w:rPr>
        <w:t xml:space="preserve">Gráfico </w:t>
      </w:r>
      <w:r w:rsidR="005B7755" w:rsidRPr="00A42604">
        <w:rPr>
          <w:rFonts w:ascii="Gill Sans MT" w:hAnsi="Gill Sans MT" w:cs="Times New Roman"/>
          <w:b/>
          <w:sz w:val="24"/>
          <w:szCs w:val="24"/>
        </w:rPr>
        <w:t xml:space="preserve">4 - </w:t>
      </w:r>
      <w:r w:rsidRPr="00A42604">
        <w:rPr>
          <w:rFonts w:ascii="Gill Sans MT" w:hAnsi="Gill Sans MT" w:cs="Times New Roman"/>
          <w:b/>
          <w:sz w:val="24"/>
          <w:szCs w:val="24"/>
        </w:rPr>
        <w:t xml:space="preserve"> Receitas reais do RS</w:t>
      </w:r>
      <w:r w:rsidR="00E84EBB" w:rsidRPr="00A42604">
        <w:rPr>
          <w:rFonts w:ascii="Gill Sans MT" w:hAnsi="Gill Sans MT" w:cs="Times New Roman"/>
          <w:b/>
          <w:sz w:val="24"/>
          <w:szCs w:val="24"/>
        </w:rPr>
        <w:t xml:space="preserve"> entre 1994-2015, em R$ bilhões</w:t>
      </w:r>
    </w:p>
    <w:p w14:paraId="7CA380E2" w14:textId="77777777" w:rsidR="006734FD" w:rsidRDefault="0045636C" w:rsidP="006734FD">
      <w:pPr>
        <w:spacing w:line="240" w:lineRule="auto"/>
        <w:jc w:val="center"/>
        <w:rPr>
          <w:rFonts w:ascii="Gill Sans MT" w:hAnsi="Gill Sans MT"/>
          <w:sz w:val="16"/>
          <w:szCs w:val="16"/>
          <w:lang w:eastAsia="pt-BR"/>
        </w:rPr>
      </w:pPr>
      <w:r w:rsidRPr="00A42604">
        <w:rPr>
          <w:noProof/>
          <w:lang w:eastAsia="pt-BR"/>
        </w:rPr>
        <w:drawing>
          <wp:inline distT="0" distB="0" distL="0" distR="0" wp14:anchorId="4A626DCB" wp14:editId="1FE9D09D">
            <wp:extent cx="5641793" cy="2242457"/>
            <wp:effectExtent l="0" t="0" r="16510" b="571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2E02B1" w14:textId="27946247" w:rsidR="00B0377B" w:rsidRPr="00A42604" w:rsidRDefault="0045636C" w:rsidP="006734FD">
      <w:pPr>
        <w:spacing w:line="240" w:lineRule="auto"/>
        <w:rPr>
          <w:rFonts w:ascii="Gill Sans MT" w:hAnsi="Gill Sans MT"/>
          <w:sz w:val="16"/>
          <w:szCs w:val="16"/>
          <w:lang w:eastAsia="pt-BR"/>
        </w:rPr>
      </w:pPr>
      <w:r w:rsidRPr="00A42604">
        <w:rPr>
          <w:rFonts w:ascii="Gill Sans MT" w:hAnsi="Gill Sans MT"/>
          <w:sz w:val="16"/>
          <w:szCs w:val="16"/>
          <w:lang w:eastAsia="pt-BR"/>
        </w:rPr>
        <w:t xml:space="preserve">Fonte: </w:t>
      </w:r>
      <w:r w:rsidR="00E84EBB" w:rsidRPr="00A42604">
        <w:rPr>
          <w:rFonts w:ascii="Gill Sans MT" w:hAnsi="Gill Sans MT"/>
          <w:sz w:val="16"/>
          <w:szCs w:val="16"/>
          <w:lang w:eastAsia="pt-BR"/>
        </w:rPr>
        <w:t xml:space="preserve">elaboração do autor com dados dos </w:t>
      </w:r>
      <w:r w:rsidRPr="00A42604">
        <w:rPr>
          <w:rFonts w:ascii="Gill Sans MT" w:hAnsi="Gill Sans MT"/>
          <w:sz w:val="16"/>
          <w:szCs w:val="16"/>
          <w:lang w:eastAsia="pt-BR"/>
        </w:rPr>
        <w:t>cubos BI, SEFAZ-RS.</w:t>
      </w:r>
      <w:r w:rsidR="00E84EBB" w:rsidRPr="00A42604">
        <w:rPr>
          <w:rFonts w:ascii="Gill Sans MT" w:hAnsi="Gill Sans MT"/>
          <w:sz w:val="16"/>
          <w:szCs w:val="16"/>
          <w:lang w:eastAsia="pt-BR"/>
        </w:rPr>
        <w:t xml:space="preserve"> </w:t>
      </w:r>
    </w:p>
    <w:p w14:paraId="072A0C48" w14:textId="77777777" w:rsidR="00882975" w:rsidRPr="00A42604" w:rsidRDefault="00882975" w:rsidP="00806CA7">
      <w:pPr>
        <w:pStyle w:val="SemEspaamento"/>
        <w:rPr>
          <w:rFonts w:ascii="Gill Sans MT" w:hAnsi="Gill Sans MT"/>
          <w:sz w:val="16"/>
          <w:szCs w:val="16"/>
        </w:rPr>
      </w:pPr>
    </w:p>
    <w:p w14:paraId="7325E0AC" w14:textId="77777777" w:rsidR="00882975" w:rsidRPr="00A42604" w:rsidRDefault="00882975" w:rsidP="00806CA7">
      <w:pPr>
        <w:pStyle w:val="SemEspaamento"/>
        <w:rPr>
          <w:rFonts w:ascii="Gill Sans MT" w:hAnsi="Gill Sans MT"/>
          <w:sz w:val="16"/>
          <w:szCs w:val="16"/>
        </w:rPr>
      </w:pPr>
    </w:p>
    <w:p w14:paraId="0F29215F" w14:textId="77777777" w:rsidR="00882975" w:rsidRPr="00A42604" w:rsidRDefault="00882975" w:rsidP="00D02D52">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Nesse período, as exportações de </w:t>
      </w:r>
      <w:r w:rsidRPr="00A42604">
        <w:rPr>
          <w:rFonts w:ascii="Gill Sans MT" w:hAnsi="Gill Sans MT" w:cs="Times New Roman"/>
          <w:i/>
          <w:sz w:val="24"/>
          <w:szCs w:val="24"/>
        </w:rPr>
        <w:t>commodities</w:t>
      </w:r>
      <w:r w:rsidRPr="00A42604">
        <w:rPr>
          <w:rFonts w:ascii="Gill Sans MT" w:hAnsi="Gill Sans MT" w:cs="Times New Roman"/>
          <w:sz w:val="24"/>
          <w:szCs w:val="24"/>
        </w:rPr>
        <w:t xml:space="preserve"> e os termos de troca beneficiaram a economia nacional e a gaúcha, elevando sobremaneira a arrecadação real. Entretanto, em que pese um desempenho bastante positivo nesse período, atualmente enfrentamos provavelmente a maior crise do século, com queda do PIB nacional que se aproxima de 8% em dois anos e o PIB </w:t>
      </w:r>
      <w:r w:rsidRPr="006734FD">
        <w:rPr>
          <w:rFonts w:ascii="Gill Sans MT" w:hAnsi="Gill Sans MT" w:cs="Times New Roman"/>
          <w:sz w:val="24"/>
          <w:szCs w:val="24"/>
        </w:rPr>
        <w:t>per capita</w:t>
      </w:r>
      <w:r w:rsidRPr="00A42604">
        <w:rPr>
          <w:rFonts w:ascii="Gill Sans MT" w:hAnsi="Gill Sans MT" w:cs="Times New Roman"/>
          <w:sz w:val="24"/>
          <w:szCs w:val="24"/>
        </w:rPr>
        <w:t xml:space="preserve"> voltando aos valores da década passada. </w:t>
      </w:r>
      <w:r w:rsidR="00D02D52" w:rsidRPr="00A42604">
        <w:rPr>
          <w:rFonts w:ascii="Gill Sans MT" w:hAnsi="Gill Sans MT" w:cs="Times New Roman"/>
          <w:sz w:val="24"/>
          <w:szCs w:val="24"/>
        </w:rPr>
        <w:t xml:space="preserve">Por maior eficiência que se tenha em termos arrecadatórios, com a economia deprimida como agora se apresenta, os efeitos sobre as receitas públicas não tardariam a chegar, como já pode-se sentir desde meados </w:t>
      </w:r>
      <w:r w:rsidR="00655EFA" w:rsidRPr="00A42604">
        <w:rPr>
          <w:rFonts w:ascii="Gill Sans MT" w:hAnsi="Gill Sans MT" w:cs="Times New Roman"/>
          <w:sz w:val="24"/>
          <w:szCs w:val="24"/>
        </w:rPr>
        <w:t>d</w:t>
      </w:r>
      <w:r w:rsidR="00D02D52" w:rsidRPr="00A42604">
        <w:rPr>
          <w:rFonts w:ascii="Gill Sans MT" w:hAnsi="Gill Sans MT" w:cs="Times New Roman"/>
          <w:sz w:val="24"/>
          <w:szCs w:val="24"/>
        </w:rPr>
        <w:t>e 2014.</w:t>
      </w:r>
    </w:p>
    <w:p w14:paraId="567C7ED3" w14:textId="77777777" w:rsidR="00BF2CA1" w:rsidRPr="00A42604" w:rsidRDefault="00BF2CA1" w:rsidP="007749CB">
      <w:pPr>
        <w:pStyle w:val="PargrafodaLista"/>
        <w:numPr>
          <w:ilvl w:val="0"/>
          <w:numId w:val="3"/>
        </w:numPr>
        <w:ind w:left="0" w:firstLine="0"/>
        <w:rPr>
          <w:rFonts w:ascii="Gill Sans MT" w:hAnsi="Gill Sans MT" w:cs="Times New Roman"/>
          <w:b/>
          <w:sz w:val="24"/>
          <w:szCs w:val="24"/>
        </w:rPr>
      </w:pPr>
      <w:r w:rsidRPr="00A42604">
        <w:rPr>
          <w:rFonts w:ascii="Gill Sans MT" w:hAnsi="Gill Sans MT" w:cs="Times New Roman"/>
          <w:b/>
          <w:sz w:val="24"/>
          <w:szCs w:val="24"/>
        </w:rPr>
        <w:lastRenderedPageBreak/>
        <w:t>Despesas</w:t>
      </w:r>
    </w:p>
    <w:p w14:paraId="2210D32B" w14:textId="77777777" w:rsidR="00841D45" w:rsidRPr="00A42604" w:rsidRDefault="00841D45" w:rsidP="00841D45">
      <w:pPr>
        <w:pStyle w:val="PargrafodaLista"/>
        <w:ind w:left="0"/>
        <w:rPr>
          <w:rFonts w:ascii="Gill Sans MT" w:hAnsi="Gill Sans MT" w:cs="Times New Roman"/>
          <w:b/>
          <w:sz w:val="24"/>
          <w:szCs w:val="24"/>
        </w:rPr>
      </w:pPr>
    </w:p>
    <w:p w14:paraId="011A3EA5" w14:textId="1325AF68" w:rsidR="00A93BE7" w:rsidRPr="00A42604" w:rsidRDefault="005A596E" w:rsidP="005B775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As despesas públicas gaúchas, como já comentado anteriormente, sempre se apresentaram maiores do que as receitas, à exceção de alguns anos em que houve algum fato esporádico como entre 1997-1998 com a venda de </w:t>
      </w:r>
      <w:r w:rsidR="00B457F4" w:rsidRPr="00A42604">
        <w:rPr>
          <w:rFonts w:ascii="Gill Sans MT" w:hAnsi="Gill Sans MT" w:cs="Times New Roman"/>
          <w:sz w:val="24"/>
          <w:szCs w:val="24"/>
        </w:rPr>
        <w:t>patrimônio do governo Brito, como pode ser visto no gráfico abaixo, que apresenta as receitas e despesas totais a preços constantes entre 1994 e 2015.</w:t>
      </w:r>
    </w:p>
    <w:p w14:paraId="66E1F92F" w14:textId="610C27F4" w:rsidR="00A93BE7" w:rsidRDefault="00A93BE7" w:rsidP="00EC0D36">
      <w:pPr>
        <w:ind w:left="1134" w:right="1132"/>
        <w:jc w:val="center"/>
        <w:rPr>
          <w:rFonts w:ascii="Gill Sans MT" w:hAnsi="Gill Sans MT" w:cs="Times New Roman"/>
          <w:b/>
          <w:sz w:val="24"/>
          <w:szCs w:val="24"/>
        </w:rPr>
      </w:pPr>
      <w:r w:rsidRPr="00A42604">
        <w:rPr>
          <w:rFonts w:ascii="Gill Sans MT" w:hAnsi="Gill Sans MT" w:cs="Times New Roman"/>
          <w:b/>
          <w:sz w:val="24"/>
          <w:szCs w:val="24"/>
        </w:rPr>
        <w:t xml:space="preserve">Gráfico 5 -  Receitas </w:t>
      </w:r>
      <w:r w:rsidR="00E05419" w:rsidRPr="00A42604">
        <w:rPr>
          <w:rFonts w:ascii="Gill Sans MT" w:hAnsi="Gill Sans MT" w:cs="Times New Roman"/>
          <w:b/>
          <w:sz w:val="24"/>
          <w:szCs w:val="24"/>
        </w:rPr>
        <w:t>Totais e</w:t>
      </w:r>
      <w:r w:rsidRPr="00A42604">
        <w:rPr>
          <w:rFonts w:ascii="Gill Sans MT" w:hAnsi="Gill Sans MT" w:cs="Times New Roman"/>
          <w:b/>
          <w:sz w:val="24"/>
          <w:szCs w:val="24"/>
        </w:rPr>
        <w:t xml:space="preserve"> Despesas Totais em valores reais do RS entr</w:t>
      </w:r>
      <w:r w:rsidR="00F71C3F">
        <w:rPr>
          <w:rFonts w:ascii="Gill Sans MT" w:hAnsi="Gill Sans MT" w:cs="Times New Roman"/>
          <w:b/>
          <w:sz w:val="24"/>
          <w:szCs w:val="24"/>
        </w:rPr>
        <w:t>e 1994-2015, em R$ bilhões</w:t>
      </w:r>
    </w:p>
    <w:p w14:paraId="4CF58FEE" w14:textId="66795236" w:rsidR="00A93BE7" w:rsidRPr="00A42604" w:rsidRDefault="00F71C3F" w:rsidP="00F71C3F">
      <w:pPr>
        <w:ind w:right="1132"/>
        <w:rPr>
          <w:rFonts w:ascii="Gill Sans MT" w:hAnsi="Gill Sans MT"/>
          <w:sz w:val="16"/>
          <w:szCs w:val="16"/>
        </w:rPr>
      </w:pPr>
      <w:r>
        <w:rPr>
          <w:noProof/>
          <w:lang w:eastAsia="pt-BR"/>
        </w:rPr>
        <w:drawing>
          <wp:inline distT="0" distB="0" distL="0" distR="0" wp14:anchorId="04339CE7" wp14:editId="20535FBA">
            <wp:extent cx="5911850" cy="2205318"/>
            <wp:effectExtent l="0" t="0" r="12700" b="508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93BE7" w:rsidRPr="00A42604">
        <w:rPr>
          <w:rFonts w:ascii="Gill Sans MT" w:hAnsi="Gill Sans MT"/>
          <w:sz w:val="16"/>
          <w:szCs w:val="16"/>
        </w:rPr>
        <w:t>Fonte: cubos BI, SEFAZ-RS.</w:t>
      </w:r>
      <w:r w:rsidR="00E05419" w:rsidRPr="00A42604">
        <w:rPr>
          <w:rFonts w:ascii="Gill Sans MT" w:hAnsi="Gill Sans MT"/>
          <w:sz w:val="16"/>
          <w:szCs w:val="16"/>
        </w:rPr>
        <w:t xml:space="preserve"> Nota: receitas e despesas totais exceto intra-orçamentárias.</w:t>
      </w:r>
    </w:p>
    <w:p w14:paraId="039F8085" w14:textId="77777777" w:rsidR="00A93BE7" w:rsidRPr="00A42604" w:rsidRDefault="00A93BE7" w:rsidP="00A82627">
      <w:pPr>
        <w:ind w:firstLine="1134"/>
        <w:jc w:val="both"/>
        <w:rPr>
          <w:rFonts w:ascii="Gill Sans MT" w:hAnsi="Gill Sans MT" w:cs="Times New Roman"/>
          <w:sz w:val="24"/>
          <w:szCs w:val="24"/>
        </w:rPr>
      </w:pPr>
    </w:p>
    <w:p w14:paraId="191226BD" w14:textId="434290D8" w:rsidR="00EA3BFE" w:rsidRPr="00A42604" w:rsidRDefault="00957E22" w:rsidP="00A93BE7">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Porém, a partir de 2014 com uma brusca queda de receitas,</w:t>
      </w:r>
      <w:r w:rsidR="00A73D6C" w:rsidRPr="00A42604">
        <w:rPr>
          <w:rFonts w:ascii="Gill Sans MT" w:hAnsi="Gill Sans MT" w:cs="Times New Roman"/>
          <w:sz w:val="24"/>
          <w:szCs w:val="24"/>
        </w:rPr>
        <w:t xml:space="preserve"> e a rigidez da despesa,</w:t>
      </w:r>
      <w:r w:rsidRPr="00A42604">
        <w:rPr>
          <w:rFonts w:ascii="Gill Sans MT" w:hAnsi="Gill Sans MT" w:cs="Times New Roman"/>
          <w:sz w:val="24"/>
          <w:szCs w:val="24"/>
        </w:rPr>
        <w:t xml:space="preserve"> o </w:t>
      </w:r>
      <w:r w:rsidRPr="00A42604">
        <w:rPr>
          <w:rFonts w:ascii="Gill Sans MT" w:hAnsi="Gill Sans MT" w:cs="Times New Roman"/>
          <w:i/>
          <w:sz w:val="24"/>
          <w:szCs w:val="24"/>
        </w:rPr>
        <w:t>gap</w:t>
      </w:r>
      <w:r w:rsidR="00CC36CD" w:rsidRPr="00A42604">
        <w:rPr>
          <w:rFonts w:ascii="Gill Sans MT" w:hAnsi="Gill Sans MT" w:cs="Times New Roman"/>
          <w:i/>
          <w:sz w:val="24"/>
          <w:szCs w:val="24"/>
        </w:rPr>
        <w:t xml:space="preserve"> </w:t>
      </w:r>
      <w:r w:rsidR="00CC36CD" w:rsidRPr="00A42604">
        <w:rPr>
          <w:rFonts w:ascii="Gill Sans MT" w:hAnsi="Gill Sans MT" w:cs="Times New Roman"/>
          <w:sz w:val="24"/>
          <w:szCs w:val="24"/>
        </w:rPr>
        <w:t>entre receitas e despesas se elevou de forma drástica, levando o estado a ter déficits orçamentários na casa de R$ 5 bilhões em</w:t>
      </w:r>
      <w:r w:rsidR="00720D5F">
        <w:rPr>
          <w:rFonts w:ascii="Gill Sans MT" w:hAnsi="Gill Sans MT" w:cs="Times New Roman"/>
          <w:sz w:val="24"/>
          <w:szCs w:val="24"/>
        </w:rPr>
        <w:t xml:space="preserve"> 2015, e com previsão de valor</w:t>
      </w:r>
      <w:r w:rsidR="00CC36CD" w:rsidRPr="00A42604">
        <w:rPr>
          <w:rFonts w:ascii="Gill Sans MT" w:hAnsi="Gill Sans MT" w:cs="Times New Roman"/>
          <w:sz w:val="24"/>
          <w:szCs w:val="24"/>
        </w:rPr>
        <w:t xml:space="preserve"> próximo </w:t>
      </w:r>
      <w:r w:rsidR="00A93BE7" w:rsidRPr="00A42604">
        <w:rPr>
          <w:rFonts w:ascii="Gill Sans MT" w:hAnsi="Gill Sans MT" w:cs="Times New Roman"/>
          <w:sz w:val="24"/>
          <w:szCs w:val="24"/>
        </w:rPr>
        <w:t>a</w:t>
      </w:r>
      <w:r w:rsidR="00CC36CD" w:rsidRPr="00A42604">
        <w:rPr>
          <w:rFonts w:ascii="Gill Sans MT" w:hAnsi="Gill Sans MT" w:cs="Times New Roman"/>
          <w:sz w:val="24"/>
          <w:szCs w:val="24"/>
        </w:rPr>
        <w:t xml:space="preserve"> esse em 2016. </w:t>
      </w:r>
    </w:p>
    <w:p w14:paraId="6864F1E1" w14:textId="77777777" w:rsidR="00CC36CD" w:rsidRPr="00A42604" w:rsidRDefault="00CC36CD" w:rsidP="00A93BE7">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O que se pode notar nesse </w:t>
      </w:r>
      <w:r w:rsidR="007B31A2" w:rsidRPr="00A42604">
        <w:rPr>
          <w:rFonts w:ascii="Gill Sans MT" w:hAnsi="Gill Sans MT" w:cs="Times New Roman"/>
          <w:sz w:val="24"/>
          <w:szCs w:val="24"/>
        </w:rPr>
        <w:t>í</w:t>
      </w:r>
      <w:r w:rsidRPr="00A42604">
        <w:rPr>
          <w:rFonts w:ascii="Gill Sans MT" w:hAnsi="Gill Sans MT" w:cs="Times New Roman"/>
          <w:sz w:val="24"/>
          <w:szCs w:val="24"/>
        </w:rPr>
        <w:t xml:space="preserve">nterim é que desde 2004 </w:t>
      </w:r>
      <w:r w:rsidR="00A73D6C" w:rsidRPr="00A42604">
        <w:rPr>
          <w:rFonts w:ascii="Gill Sans MT" w:hAnsi="Gill Sans MT" w:cs="Times New Roman"/>
          <w:sz w:val="24"/>
          <w:szCs w:val="24"/>
        </w:rPr>
        <w:t>as despesas totais têm</w:t>
      </w:r>
      <w:r w:rsidRPr="00A42604">
        <w:rPr>
          <w:rFonts w:ascii="Gill Sans MT" w:hAnsi="Gill Sans MT" w:cs="Times New Roman"/>
          <w:sz w:val="24"/>
          <w:szCs w:val="24"/>
        </w:rPr>
        <w:t xml:space="preserve"> mostrado tendência clara de expansão continua</w:t>
      </w:r>
      <w:r w:rsidR="00395975" w:rsidRPr="00A42604">
        <w:rPr>
          <w:rFonts w:ascii="Gill Sans MT" w:hAnsi="Gill Sans MT" w:cs="Times New Roman"/>
          <w:sz w:val="24"/>
          <w:szCs w:val="24"/>
        </w:rPr>
        <w:t>, e mesmo no período do déficit zero</w:t>
      </w:r>
      <w:r w:rsidR="00A73D6C" w:rsidRPr="00A42604">
        <w:rPr>
          <w:rFonts w:ascii="Gill Sans MT" w:hAnsi="Gill Sans MT" w:cs="Times New Roman"/>
          <w:sz w:val="24"/>
          <w:szCs w:val="24"/>
        </w:rPr>
        <w:t xml:space="preserve"> (2007-2010)</w:t>
      </w:r>
      <w:r w:rsidR="00395975" w:rsidRPr="00A42604">
        <w:rPr>
          <w:rFonts w:ascii="Gill Sans MT" w:hAnsi="Gill Sans MT" w:cs="Times New Roman"/>
          <w:sz w:val="24"/>
          <w:szCs w:val="24"/>
        </w:rPr>
        <w:t>, houve elevação da despesa em termos reais, ainda que nesse período tenha sido essa elevação, abaixo da elevação da receita, o</w:t>
      </w:r>
      <w:r w:rsidR="00A73D6C" w:rsidRPr="00A42604">
        <w:rPr>
          <w:rFonts w:ascii="Gill Sans MT" w:hAnsi="Gill Sans MT" w:cs="Times New Roman"/>
          <w:sz w:val="24"/>
          <w:szCs w:val="24"/>
        </w:rPr>
        <w:t xml:space="preserve"> </w:t>
      </w:r>
      <w:r w:rsidR="00395975" w:rsidRPr="00A42604">
        <w:rPr>
          <w:rFonts w:ascii="Gill Sans MT" w:hAnsi="Gill Sans MT" w:cs="Times New Roman"/>
          <w:sz w:val="24"/>
          <w:szCs w:val="24"/>
        </w:rPr>
        <w:t>qu</w:t>
      </w:r>
      <w:r w:rsidR="00A73D6C" w:rsidRPr="00A42604">
        <w:rPr>
          <w:rFonts w:ascii="Gill Sans MT" w:hAnsi="Gill Sans MT" w:cs="Times New Roman"/>
          <w:sz w:val="24"/>
          <w:szCs w:val="24"/>
        </w:rPr>
        <w:t>e</w:t>
      </w:r>
      <w:r w:rsidR="00395975" w:rsidRPr="00A42604">
        <w:rPr>
          <w:rFonts w:ascii="Gill Sans MT" w:hAnsi="Gill Sans MT" w:cs="Times New Roman"/>
          <w:sz w:val="24"/>
          <w:szCs w:val="24"/>
        </w:rPr>
        <w:t xml:space="preserve"> acabou gerando dois anos de superávit.</w:t>
      </w:r>
    </w:p>
    <w:p w14:paraId="03A0410C" w14:textId="77777777" w:rsidR="00EC0D36" w:rsidRPr="00A42604" w:rsidRDefault="00EC0D36" w:rsidP="00A93BE7">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Assim como a receita, a despesa total </w:t>
      </w:r>
      <w:r w:rsidR="007B31A2" w:rsidRPr="00A42604">
        <w:rPr>
          <w:rFonts w:ascii="Gill Sans MT" w:hAnsi="Gill Sans MT" w:cs="Times New Roman"/>
          <w:sz w:val="24"/>
          <w:szCs w:val="24"/>
        </w:rPr>
        <w:t xml:space="preserve">em relação ao PIB estadual </w:t>
      </w:r>
      <w:r w:rsidRPr="00A42604">
        <w:rPr>
          <w:rFonts w:ascii="Gill Sans MT" w:hAnsi="Gill Sans MT" w:cs="Times New Roman"/>
          <w:sz w:val="24"/>
          <w:szCs w:val="24"/>
        </w:rPr>
        <w:t>mostra um viés de continua elevação desde 1971, como pode ser visto no gráfico</w:t>
      </w:r>
      <w:r w:rsidR="007B31A2" w:rsidRPr="00A42604">
        <w:rPr>
          <w:rFonts w:ascii="Gill Sans MT" w:hAnsi="Gill Sans MT" w:cs="Times New Roman"/>
          <w:sz w:val="24"/>
          <w:szCs w:val="24"/>
        </w:rPr>
        <w:t xml:space="preserve"> 6</w:t>
      </w:r>
      <w:r w:rsidRPr="00A42604">
        <w:rPr>
          <w:rFonts w:ascii="Gill Sans MT" w:hAnsi="Gill Sans MT" w:cs="Times New Roman"/>
          <w:sz w:val="24"/>
          <w:szCs w:val="24"/>
        </w:rPr>
        <w:t xml:space="preserve"> abaixo, passando de </w:t>
      </w:r>
      <w:r w:rsidR="008C1F88" w:rsidRPr="00A42604">
        <w:rPr>
          <w:rFonts w:ascii="Gill Sans MT" w:hAnsi="Gill Sans MT" w:cs="Times New Roman"/>
          <w:sz w:val="24"/>
          <w:szCs w:val="24"/>
        </w:rPr>
        <w:t>9,85% do PIB no começo da série histórica para 12,96% em 2015. Esse comportamento que guarda correlação profunda com o agravamento de problemas históricos enfrentados pelo estado, como a dívida pública e o déficit da previdência dos servidores públicos</w:t>
      </w:r>
      <w:r w:rsidR="00DB2968" w:rsidRPr="00A42604">
        <w:rPr>
          <w:rFonts w:ascii="Gill Sans MT" w:hAnsi="Gill Sans MT" w:cs="Times New Roman"/>
          <w:sz w:val="24"/>
          <w:szCs w:val="24"/>
        </w:rPr>
        <w:t xml:space="preserve">, não tem condições </w:t>
      </w:r>
      <w:r w:rsidR="00DB2968" w:rsidRPr="00A42604">
        <w:rPr>
          <w:rFonts w:ascii="Gill Sans MT" w:hAnsi="Gill Sans MT" w:cs="Times New Roman"/>
          <w:sz w:val="24"/>
          <w:szCs w:val="24"/>
        </w:rPr>
        <w:lastRenderedPageBreak/>
        <w:t>de ser suportado pela estrutura de tributação existente atualmente, com concentração de arrecadação na União e prestação de serviços feita por estados e municípios.</w:t>
      </w:r>
    </w:p>
    <w:p w14:paraId="35EC29F3" w14:textId="77777777" w:rsidR="00DB2968" w:rsidRPr="00A42604" w:rsidRDefault="00DB2968" w:rsidP="00DB2968">
      <w:pPr>
        <w:ind w:left="1134" w:right="1132"/>
        <w:jc w:val="center"/>
        <w:rPr>
          <w:rFonts w:ascii="Gill Sans MT" w:hAnsi="Gill Sans MT" w:cs="Times New Roman"/>
          <w:sz w:val="24"/>
          <w:szCs w:val="24"/>
        </w:rPr>
      </w:pPr>
      <w:r w:rsidRPr="00A42604">
        <w:rPr>
          <w:rFonts w:ascii="Gill Sans MT" w:hAnsi="Gill Sans MT" w:cs="Times New Roman"/>
          <w:b/>
          <w:sz w:val="24"/>
          <w:szCs w:val="24"/>
        </w:rPr>
        <w:t>Gráfico 6: Despesa total/PIB - Rio Grande do Sul - 1971-2015</w:t>
      </w:r>
    </w:p>
    <w:p w14:paraId="114D91C4" w14:textId="7CD5CD97" w:rsidR="004348D5" w:rsidRPr="00D034B6" w:rsidRDefault="00EC0D36" w:rsidP="0078167A">
      <w:pPr>
        <w:spacing w:line="360" w:lineRule="auto"/>
        <w:rPr>
          <w:rFonts w:ascii="Gill Sans MT" w:hAnsi="Gill Sans MT" w:cs="Times New Roman"/>
          <w:sz w:val="14"/>
          <w:szCs w:val="16"/>
        </w:rPr>
      </w:pPr>
      <w:r w:rsidRPr="00A42604">
        <w:rPr>
          <w:noProof/>
          <w:lang w:eastAsia="pt-BR"/>
        </w:rPr>
        <w:drawing>
          <wp:inline distT="0" distB="0" distL="0" distR="0" wp14:anchorId="296B138A" wp14:editId="68A83330">
            <wp:extent cx="5759450" cy="2103120"/>
            <wp:effectExtent l="0" t="0" r="12700"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B0053" w:rsidRPr="00D034B6">
        <w:rPr>
          <w:rFonts w:ascii="Gill Sans MT" w:eastAsia="Times New Roman" w:hAnsi="Gill Sans MT" w:cs="Times New Roman"/>
          <w:sz w:val="14"/>
          <w:szCs w:val="16"/>
          <w:lang w:eastAsia="pt-BR"/>
        </w:rPr>
        <w:t xml:space="preserve">Fonte: elaboração do autor com dados da SEFAZ, FEE, </w:t>
      </w:r>
      <w:r w:rsidR="007B0053" w:rsidRPr="00D034B6">
        <w:rPr>
          <w:rFonts w:ascii="Gill Sans MT" w:hAnsi="Gill Sans MT" w:cs="Times New Roman"/>
          <w:sz w:val="14"/>
          <w:szCs w:val="16"/>
        </w:rPr>
        <w:t>e PLOA 2016. Nota: Valores de 2015 são correntes. PIB de 2014 e 2015 são estimativas da FEE.</w:t>
      </w:r>
    </w:p>
    <w:p w14:paraId="67DDCF43" w14:textId="40F0877C" w:rsidR="00D0049C" w:rsidRDefault="00D0049C" w:rsidP="00A93BE7">
      <w:pPr>
        <w:autoSpaceDE w:val="0"/>
        <w:autoSpaceDN w:val="0"/>
        <w:adjustRightInd w:val="0"/>
        <w:spacing w:after="0"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Se considerarmos a evolução dos gastos estaduais ao longo do tempo, podemos observar que os investimentos têm perdido espaço no orçamento para gastos com pessoal e custeio, em especial nos últimos anos, em que o gasto de pessoal aumentou em quase </w:t>
      </w:r>
      <w:r w:rsidR="009650DE" w:rsidRPr="00A42604">
        <w:rPr>
          <w:rFonts w:ascii="Gill Sans MT" w:hAnsi="Gill Sans MT" w:cs="Times New Roman"/>
          <w:sz w:val="24"/>
          <w:szCs w:val="24"/>
        </w:rPr>
        <w:t>85%</w:t>
      </w:r>
      <w:r w:rsidRPr="00A42604">
        <w:rPr>
          <w:rFonts w:ascii="Gill Sans MT" w:hAnsi="Gill Sans MT" w:cs="Times New Roman"/>
          <w:sz w:val="24"/>
          <w:szCs w:val="24"/>
        </w:rPr>
        <w:t xml:space="preserve"> em valores </w:t>
      </w:r>
      <w:r w:rsidR="009650DE" w:rsidRPr="00A42604">
        <w:rPr>
          <w:rFonts w:ascii="Gill Sans MT" w:hAnsi="Gill Sans MT" w:cs="Times New Roman"/>
          <w:sz w:val="24"/>
          <w:szCs w:val="24"/>
        </w:rPr>
        <w:t>nominais</w:t>
      </w:r>
      <w:r w:rsidRPr="00A42604">
        <w:rPr>
          <w:rFonts w:ascii="Gill Sans MT" w:hAnsi="Gill Sans MT" w:cs="Times New Roman"/>
          <w:sz w:val="24"/>
          <w:szCs w:val="24"/>
        </w:rPr>
        <w:t>, se comparad</w:t>
      </w:r>
      <w:r w:rsidR="009650DE" w:rsidRPr="00A42604">
        <w:rPr>
          <w:rFonts w:ascii="Gill Sans MT" w:hAnsi="Gill Sans MT" w:cs="Times New Roman"/>
          <w:sz w:val="24"/>
          <w:szCs w:val="24"/>
        </w:rPr>
        <w:t xml:space="preserve">o com os valores gastos em 2010, enquanto a despesa como um todo, à exceção de pessoal cresceu 37% e a RCL cresceu </w:t>
      </w:r>
      <w:r w:rsidR="00C47E7E" w:rsidRPr="00A42604">
        <w:rPr>
          <w:rFonts w:ascii="Gill Sans MT" w:hAnsi="Gill Sans MT" w:cs="Times New Roman"/>
          <w:sz w:val="24"/>
          <w:szCs w:val="24"/>
        </w:rPr>
        <w:t>48%.</w:t>
      </w:r>
    </w:p>
    <w:p w14:paraId="668A7457" w14:textId="77777777" w:rsidR="00622629" w:rsidRPr="00A42604" w:rsidRDefault="00622629" w:rsidP="00A93BE7">
      <w:pPr>
        <w:autoSpaceDE w:val="0"/>
        <w:autoSpaceDN w:val="0"/>
        <w:adjustRightInd w:val="0"/>
        <w:spacing w:after="0" w:line="360" w:lineRule="auto"/>
        <w:ind w:firstLine="1134"/>
        <w:jc w:val="both"/>
        <w:rPr>
          <w:rFonts w:ascii="Gill Sans MT" w:hAnsi="Gill Sans MT" w:cs="Times New Roman"/>
          <w:sz w:val="24"/>
          <w:szCs w:val="24"/>
        </w:rPr>
      </w:pPr>
    </w:p>
    <w:p w14:paraId="1B7B8BC0" w14:textId="115BC64C" w:rsidR="00D0049C" w:rsidRDefault="00D0049C" w:rsidP="00A93BE7">
      <w:pPr>
        <w:autoSpaceDE w:val="0"/>
        <w:autoSpaceDN w:val="0"/>
        <w:adjustRightInd w:val="0"/>
        <w:spacing w:after="0" w:line="240" w:lineRule="auto"/>
        <w:jc w:val="center"/>
        <w:rPr>
          <w:rFonts w:ascii="Gill Sans MT" w:hAnsi="Gill Sans MT" w:cs="Times New Roman"/>
          <w:b/>
          <w:sz w:val="24"/>
          <w:szCs w:val="24"/>
        </w:rPr>
      </w:pPr>
      <w:r w:rsidRPr="00A42604">
        <w:rPr>
          <w:rFonts w:ascii="Gill Sans MT" w:hAnsi="Gill Sans MT" w:cs="Times New Roman"/>
          <w:b/>
          <w:sz w:val="24"/>
          <w:szCs w:val="24"/>
        </w:rPr>
        <w:t xml:space="preserve">Gráfico </w:t>
      </w:r>
      <w:r w:rsidR="001E5401">
        <w:rPr>
          <w:rFonts w:ascii="Gill Sans MT" w:hAnsi="Gill Sans MT" w:cs="Times New Roman"/>
          <w:b/>
          <w:sz w:val="24"/>
          <w:szCs w:val="24"/>
        </w:rPr>
        <w:t>7</w:t>
      </w:r>
      <w:r w:rsidRPr="00A42604">
        <w:rPr>
          <w:rFonts w:ascii="Gill Sans MT" w:hAnsi="Gill Sans MT" w:cs="Times New Roman"/>
          <w:b/>
          <w:sz w:val="24"/>
          <w:szCs w:val="24"/>
        </w:rPr>
        <w:t xml:space="preserve"> – Despesa estadual por grupo</w:t>
      </w:r>
      <w:r w:rsidR="003C3A09" w:rsidRPr="00A42604">
        <w:rPr>
          <w:rFonts w:ascii="Gill Sans MT" w:hAnsi="Gill Sans MT" w:cs="Times New Roman"/>
          <w:b/>
          <w:sz w:val="24"/>
          <w:szCs w:val="24"/>
        </w:rPr>
        <w:t xml:space="preserve"> 2000</w:t>
      </w:r>
      <w:r w:rsidRPr="00A42604">
        <w:rPr>
          <w:rFonts w:ascii="Gill Sans MT" w:hAnsi="Gill Sans MT" w:cs="Times New Roman"/>
          <w:b/>
          <w:sz w:val="24"/>
          <w:szCs w:val="24"/>
        </w:rPr>
        <w:t>-2015</w:t>
      </w:r>
      <w:r w:rsidR="00B61205" w:rsidRPr="00A42604">
        <w:rPr>
          <w:rFonts w:ascii="Gill Sans MT" w:hAnsi="Gill Sans MT" w:cs="Times New Roman"/>
          <w:b/>
          <w:sz w:val="24"/>
          <w:szCs w:val="24"/>
        </w:rPr>
        <w:t>, em R$ bilhões</w:t>
      </w:r>
    </w:p>
    <w:p w14:paraId="689E14B4" w14:textId="77777777" w:rsidR="00622629" w:rsidRDefault="00622629" w:rsidP="00A93BE7">
      <w:pPr>
        <w:autoSpaceDE w:val="0"/>
        <w:autoSpaceDN w:val="0"/>
        <w:adjustRightInd w:val="0"/>
        <w:spacing w:after="0" w:line="240" w:lineRule="auto"/>
        <w:jc w:val="center"/>
        <w:rPr>
          <w:rFonts w:ascii="Gill Sans MT" w:hAnsi="Gill Sans MT" w:cs="Times New Roman"/>
          <w:b/>
          <w:sz w:val="24"/>
          <w:szCs w:val="24"/>
        </w:rPr>
      </w:pPr>
    </w:p>
    <w:p w14:paraId="6DAD142C" w14:textId="59EF21F8" w:rsidR="005848EE" w:rsidRPr="00A42604" w:rsidRDefault="00CA1B31" w:rsidP="00A93BE7">
      <w:pPr>
        <w:autoSpaceDE w:val="0"/>
        <w:autoSpaceDN w:val="0"/>
        <w:adjustRightInd w:val="0"/>
        <w:spacing w:after="0" w:line="240" w:lineRule="auto"/>
        <w:jc w:val="center"/>
        <w:rPr>
          <w:rFonts w:ascii="Gill Sans MT" w:hAnsi="Gill Sans MT" w:cs="Times New Roman"/>
          <w:b/>
          <w:sz w:val="24"/>
          <w:szCs w:val="24"/>
        </w:rPr>
      </w:pPr>
      <w:r>
        <w:rPr>
          <w:noProof/>
          <w:lang w:eastAsia="pt-BR"/>
        </w:rPr>
        <w:drawing>
          <wp:inline distT="0" distB="0" distL="0" distR="0" wp14:anchorId="45F71311" wp14:editId="78DC854D">
            <wp:extent cx="5684520" cy="2941320"/>
            <wp:effectExtent l="0" t="0" r="11430" b="1143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C48DB5" w14:textId="7DB92487" w:rsidR="005848EE" w:rsidRPr="00A42604" w:rsidRDefault="005848EE" w:rsidP="0078167A">
      <w:pPr>
        <w:rPr>
          <w:rFonts w:ascii="Gill Sans MT" w:eastAsia="Times New Roman" w:hAnsi="Gill Sans MT" w:cs="Times New Roman"/>
          <w:sz w:val="16"/>
          <w:szCs w:val="16"/>
          <w:lang w:eastAsia="pt-BR"/>
        </w:rPr>
      </w:pPr>
      <w:r w:rsidRPr="00A42604">
        <w:rPr>
          <w:rFonts w:ascii="Gill Sans MT" w:eastAsia="Times New Roman" w:hAnsi="Gill Sans MT" w:cs="Times New Roman"/>
          <w:sz w:val="16"/>
          <w:szCs w:val="16"/>
          <w:lang w:eastAsia="pt-BR"/>
        </w:rPr>
        <w:t>Fonte: cubos BI, SEFAZ-RS.</w:t>
      </w:r>
      <w:r w:rsidR="00CA1B31">
        <w:rPr>
          <w:rFonts w:ascii="Gill Sans MT" w:eastAsia="Times New Roman" w:hAnsi="Gill Sans MT" w:cs="Times New Roman"/>
          <w:sz w:val="16"/>
          <w:szCs w:val="16"/>
          <w:lang w:eastAsia="pt-BR"/>
        </w:rPr>
        <w:t xml:space="preserve"> Pessoal e ODC ajustados em 2009, 2010 e 2011 devido a mudanças na contabilidade.</w:t>
      </w:r>
    </w:p>
    <w:p w14:paraId="566101FC" w14:textId="77777777" w:rsidR="00F45CAC" w:rsidRDefault="00F45CAC" w:rsidP="005848EE">
      <w:pPr>
        <w:spacing w:line="360" w:lineRule="auto"/>
        <w:ind w:firstLine="1134"/>
        <w:jc w:val="both"/>
        <w:rPr>
          <w:rFonts w:ascii="Gill Sans MT" w:hAnsi="Gill Sans MT" w:cs="Times New Roman"/>
          <w:sz w:val="24"/>
          <w:szCs w:val="24"/>
        </w:rPr>
      </w:pPr>
    </w:p>
    <w:p w14:paraId="6D4A8293" w14:textId="47C626EB" w:rsidR="00C47E7E" w:rsidRPr="00A42604" w:rsidRDefault="00C47E7E" w:rsidP="005848EE">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lastRenderedPageBreak/>
        <w:t xml:space="preserve">Nota-se que desde </w:t>
      </w:r>
      <w:r w:rsidR="00EB4D79" w:rsidRPr="00A42604">
        <w:rPr>
          <w:rFonts w:ascii="Gill Sans MT" w:hAnsi="Gill Sans MT" w:cs="Times New Roman"/>
          <w:sz w:val="24"/>
          <w:szCs w:val="24"/>
        </w:rPr>
        <w:t>2000</w:t>
      </w:r>
      <w:r w:rsidRPr="00A42604">
        <w:rPr>
          <w:rFonts w:ascii="Gill Sans MT" w:hAnsi="Gill Sans MT" w:cs="Times New Roman"/>
          <w:sz w:val="24"/>
          <w:szCs w:val="24"/>
        </w:rPr>
        <w:t xml:space="preserve">, o gasto total com pessoal seguia um comportamento relativamente </w:t>
      </w:r>
      <w:r w:rsidRPr="00A42604">
        <w:rPr>
          <w:rFonts w:ascii="Gill Sans MT" w:hAnsi="Gill Sans MT" w:cs="Times New Roman"/>
          <w:i/>
          <w:sz w:val="24"/>
          <w:szCs w:val="24"/>
        </w:rPr>
        <w:t>flat</w:t>
      </w:r>
      <w:r w:rsidRPr="00A42604">
        <w:rPr>
          <w:rFonts w:ascii="Gill Sans MT" w:hAnsi="Gill Sans MT" w:cs="Times New Roman"/>
          <w:sz w:val="24"/>
          <w:szCs w:val="24"/>
        </w:rPr>
        <w:t xml:space="preserve">, porém, a partir de </w:t>
      </w:r>
      <w:r w:rsidR="00AE7ECF">
        <w:rPr>
          <w:rFonts w:ascii="Gill Sans MT" w:hAnsi="Gill Sans MT" w:cs="Times New Roman"/>
          <w:sz w:val="24"/>
          <w:szCs w:val="24"/>
        </w:rPr>
        <w:t>2008/</w:t>
      </w:r>
      <w:r w:rsidRPr="00A42604">
        <w:rPr>
          <w:rFonts w:ascii="Gill Sans MT" w:hAnsi="Gill Sans MT" w:cs="Times New Roman"/>
          <w:sz w:val="24"/>
          <w:szCs w:val="24"/>
        </w:rPr>
        <w:t>2009</w:t>
      </w:r>
      <w:r w:rsidR="00AE7ECF">
        <w:rPr>
          <w:rFonts w:ascii="Gill Sans MT" w:hAnsi="Gill Sans MT" w:cs="Times New Roman"/>
          <w:sz w:val="24"/>
          <w:szCs w:val="24"/>
        </w:rPr>
        <w:t xml:space="preserve"> </w:t>
      </w:r>
      <w:r w:rsidRPr="00A42604">
        <w:rPr>
          <w:rFonts w:ascii="Gill Sans MT" w:hAnsi="Gill Sans MT" w:cs="Times New Roman"/>
          <w:sz w:val="24"/>
          <w:szCs w:val="24"/>
        </w:rPr>
        <w:t>o crescimento dessa despesa ficou bastante evidente, com os vários reajustes, elevações de vencimentos, reestruturações</w:t>
      </w:r>
      <w:r w:rsidR="00F17BFF" w:rsidRPr="00A42604">
        <w:rPr>
          <w:rFonts w:ascii="Gill Sans MT" w:hAnsi="Gill Sans MT" w:cs="Times New Roman"/>
          <w:sz w:val="24"/>
          <w:szCs w:val="24"/>
        </w:rPr>
        <w:t xml:space="preserve"> de </w:t>
      </w:r>
      <w:r w:rsidR="00EB4D79" w:rsidRPr="00A42604">
        <w:rPr>
          <w:rFonts w:ascii="Gill Sans MT" w:hAnsi="Gill Sans MT" w:cs="Times New Roman"/>
          <w:sz w:val="24"/>
          <w:szCs w:val="24"/>
        </w:rPr>
        <w:t xml:space="preserve">cargos, </w:t>
      </w:r>
      <w:r w:rsidR="00F17BFF" w:rsidRPr="00A42604">
        <w:rPr>
          <w:rFonts w:ascii="Gill Sans MT" w:hAnsi="Gill Sans MT" w:cs="Times New Roman"/>
          <w:sz w:val="24"/>
          <w:szCs w:val="24"/>
        </w:rPr>
        <w:t>bem como com as despesas vinculadas e criadas a nível nacional, e que obrigam o</w:t>
      </w:r>
      <w:r w:rsidR="00B61205" w:rsidRPr="00A42604">
        <w:rPr>
          <w:rFonts w:ascii="Gill Sans MT" w:hAnsi="Gill Sans MT" w:cs="Times New Roman"/>
          <w:sz w:val="24"/>
          <w:szCs w:val="24"/>
        </w:rPr>
        <w:t xml:space="preserve"> Tesouro</w:t>
      </w:r>
      <w:r w:rsidR="00F17BFF" w:rsidRPr="00A42604">
        <w:rPr>
          <w:rFonts w:ascii="Gill Sans MT" w:hAnsi="Gill Sans MT" w:cs="Times New Roman"/>
          <w:sz w:val="24"/>
          <w:szCs w:val="24"/>
        </w:rPr>
        <w:t xml:space="preserve"> a elevar esse gasto mesmo que não h</w:t>
      </w:r>
      <w:r w:rsidR="00B61205" w:rsidRPr="00A42604">
        <w:rPr>
          <w:rFonts w:ascii="Gill Sans MT" w:hAnsi="Gill Sans MT" w:cs="Times New Roman"/>
          <w:sz w:val="24"/>
          <w:szCs w:val="24"/>
        </w:rPr>
        <w:t>ouvesse</w:t>
      </w:r>
      <w:r w:rsidR="00F17BFF" w:rsidRPr="00A42604">
        <w:rPr>
          <w:rFonts w:ascii="Gill Sans MT" w:hAnsi="Gill Sans MT" w:cs="Times New Roman"/>
          <w:sz w:val="24"/>
          <w:szCs w:val="24"/>
        </w:rPr>
        <w:t xml:space="preserve"> previsão </w:t>
      </w:r>
      <w:r w:rsidR="00B61205" w:rsidRPr="00A42604">
        <w:rPr>
          <w:rFonts w:ascii="Gill Sans MT" w:hAnsi="Gill Sans MT" w:cs="Times New Roman"/>
          <w:sz w:val="24"/>
          <w:szCs w:val="24"/>
        </w:rPr>
        <w:t xml:space="preserve">orçamentária </w:t>
      </w:r>
      <w:r w:rsidR="00F17BFF" w:rsidRPr="00A42604">
        <w:rPr>
          <w:rFonts w:ascii="Gill Sans MT" w:hAnsi="Gill Sans MT" w:cs="Times New Roman"/>
          <w:sz w:val="24"/>
          <w:szCs w:val="24"/>
        </w:rPr>
        <w:t>de receita para isso, como é o caso do piso do magistério.</w:t>
      </w:r>
    </w:p>
    <w:p w14:paraId="5E802701" w14:textId="77777777" w:rsidR="00F17BFF" w:rsidRPr="00A42604" w:rsidRDefault="00F17BFF" w:rsidP="005848EE">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As Outras Despesas Correntes </w:t>
      </w:r>
      <w:r w:rsidR="005848EE" w:rsidRPr="00A42604">
        <w:rPr>
          <w:rFonts w:ascii="Gill Sans MT" w:hAnsi="Gill Sans MT" w:cs="Times New Roman"/>
          <w:sz w:val="24"/>
          <w:szCs w:val="24"/>
        </w:rPr>
        <w:t xml:space="preserve">(ODC) </w:t>
      </w:r>
      <w:r w:rsidRPr="00A42604">
        <w:rPr>
          <w:rFonts w:ascii="Gill Sans MT" w:hAnsi="Gill Sans MT" w:cs="Times New Roman"/>
          <w:sz w:val="24"/>
          <w:szCs w:val="24"/>
        </w:rPr>
        <w:t xml:space="preserve">também apresentam crescimento vigoroso a partir de 2003, porém </w:t>
      </w:r>
      <w:r w:rsidR="00EB4D79" w:rsidRPr="00A42604">
        <w:rPr>
          <w:rFonts w:ascii="Gill Sans MT" w:hAnsi="Gill Sans MT" w:cs="Times New Roman"/>
          <w:sz w:val="24"/>
          <w:szCs w:val="24"/>
        </w:rPr>
        <w:t xml:space="preserve">com variação inferior àquela apresentada </w:t>
      </w:r>
      <w:r w:rsidRPr="00A42604">
        <w:rPr>
          <w:rFonts w:ascii="Gill Sans MT" w:hAnsi="Gill Sans MT" w:cs="Times New Roman"/>
          <w:sz w:val="24"/>
          <w:szCs w:val="24"/>
        </w:rPr>
        <w:t>na despesa de pessoal</w:t>
      </w:r>
      <w:r w:rsidR="003254A7" w:rsidRPr="00A42604">
        <w:rPr>
          <w:rFonts w:ascii="Gill Sans MT" w:hAnsi="Gill Sans MT" w:cs="Times New Roman"/>
          <w:sz w:val="24"/>
          <w:szCs w:val="24"/>
        </w:rPr>
        <w:t xml:space="preserve">. Entre 2010 e 2015, em termos </w:t>
      </w:r>
      <w:r w:rsidR="001D1230" w:rsidRPr="00A42604">
        <w:rPr>
          <w:rFonts w:ascii="Gill Sans MT" w:hAnsi="Gill Sans MT" w:cs="Times New Roman"/>
          <w:sz w:val="24"/>
          <w:szCs w:val="24"/>
        </w:rPr>
        <w:t>nominais,</w:t>
      </w:r>
      <w:r w:rsidR="003254A7" w:rsidRPr="00A42604">
        <w:rPr>
          <w:rFonts w:ascii="Gill Sans MT" w:hAnsi="Gill Sans MT" w:cs="Times New Roman"/>
          <w:sz w:val="24"/>
          <w:szCs w:val="24"/>
        </w:rPr>
        <w:t xml:space="preserve"> essa despesa cresceu 56%, pouco acim</w:t>
      </w:r>
      <w:r w:rsidR="00B61205" w:rsidRPr="00A42604">
        <w:rPr>
          <w:rFonts w:ascii="Gill Sans MT" w:hAnsi="Gill Sans MT" w:cs="Times New Roman"/>
          <w:sz w:val="24"/>
          <w:szCs w:val="24"/>
        </w:rPr>
        <w:t>a do crescimento da RCL, de 48%, enquanto aquela, como já dito, cresceu 85%.</w:t>
      </w:r>
    </w:p>
    <w:p w14:paraId="756536E3" w14:textId="1580F0C6" w:rsidR="003254A7" w:rsidRPr="00A42604" w:rsidRDefault="003254A7" w:rsidP="005848EE">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Se </w:t>
      </w:r>
      <w:r w:rsidR="00B61205" w:rsidRPr="00A42604">
        <w:rPr>
          <w:rFonts w:ascii="Gill Sans MT" w:hAnsi="Gill Sans MT" w:cs="Times New Roman"/>
          <w:sz w:val="24"/>
          <w:szCs w:val="24"/>
        </w:rPr>
        <w:t>a despesa de p</w:t>
      </w:r>
      <w:r w:rsidRPr="00A42604">
        <w:rPr>
          <w:rFonts w:ascii="Gill Sans MT" w:hAnsi="Gill Sans MT" w:cs="Times New Roman"/>
          <w:sz w:val="24"/>
          <w:szCs w:val="24"/>
        </w:rPr>
        <w:t xml:space="preserve">essoal e ODC estão crescendo acima da RCL, outras despesas estão </w:t>
      </w:r>
      <w:r w:rsidR="001D1230" w:rsidRPr="00A42604">
        <w:rPr>
          <w:rFonts w:ascii="Gill Sans MT" w:hAnsi="Gill Sans MT" w:cs="Times New Roman"/>
          <w:sz w:val="24"/>
          <w:szCs w:val="24"/>
        </w:rPr>
        <w:t>encolhendo</w:t>
      </w:r>
      <w:r w:rsidRPr="00A42604">
        <w:rPr>
          <w:rFonts w:ascii="Gill Sans MT" w:hAnsi="Gill Sans MT" w:cs="Times New Roman"/>
          <w:sz w:val="24"/>
          <w:szCs w:val="24"/>
        </w:rPr>
        <w:t xml:space="preserve"> em </w:t>
      </w:r>
      <w:r w:rsidR="001D1230" w:rsidRPr="00A42604">
        <w:rPr>
          <w:rFonts w:ascii="Gill Sans MT" w:hAnsi="Gill Sans MT" w:cs="Times New Roman"/>
          <w:sz w:val="24"/>
          <w:szCs w:val="24"/>
        </w:rPr>
        <w:t>termos</w:t>
      </w:r>
      <w:r w:rsidRPr="00A42604">
        <w:rPr>
          <w:rFonts w:ascii="Gill Sans MT" w:hAnsi="Gill Sans MT" w:cs="Times New Roman"/>
          <w:sz w:val="24"/>
          <w:szCs w:val="24"/>
        </w:rPr>
        <w:t xml:space="preserve"> relativos no orçamento gaúcho. Dessas, o investimento é a que mais tem sido abalada, por ser a variável de ajuste (corte) de todos os governos, haja vista a impossibilidade de se cortar </w:t>
      </w:r>
      <w:r w:rsidR="00AE7ECF">
        <w:rPr>
          <w:rFonts w:ascii="Gill Sans MT" w:hAnsi="Gill Sans MT" w:cs="Times New Roman"/>
          <w:sz w:val="24"/>
          <w:szCs w:val="24"/>
        </w:rPr>
        <w:t xml:space="preserve">despesa de </w:t>
      </w:r>
      <w:r w:rsidRPr="00A42604">
        <w:rPr>
          <w:rFonts w:ascii="Gill Sans MT" w:hAnsi="Gill Sans MT" w:cs="Times New Roman"/>
          <w:sz w:val="24"/>
          <w:szCs w:val="24"/>
        </w:rPr>
        <w:t>pessoal, dívida e a dificuldade em se baixar o custeio. Pelo gráfico</w:t>
      </w:r>
      <w:r w:rsidR="005848EE" w:rsidRPr="00A42604">
        <w:rPr>
          <w:rFonts w:ascii="Gill Sans MT" w:hAnsi="Gill Sans MT" w:cs="Times New Roman"/>
          <w:sz w:val="24"/>
          <w:szCs w:val="24"/>
        </w:rPr>
        <w:t xml:space="preserve"> </w:t>
      </w:r>
      <w:r w:rsidR="00DB3CED">
        <w:rPr>
          <w:rFonts w:ascii="Gill Sans MT" w:hAnsi="Gill Sans MT" w:cs="Times New Roman"/>
          <w:sz w:val="24"/>
          <w:szCs w:val="24"/>
        </w:rPr>
        <w:t>7</w:t>
      </w:r>
      <w:r w:rsidRPr="00A42604">
        <w:rPr>
          <w:rFonts w:ascii="Gill Sans MT" w:hAnsi="Gill Sans MT" w:cs="Times New Roman"/>
          <w:sz w:val="24"/>
          <w:szCs w:val="24"/>
        </w:rPr>
        <w:t xml:space="preserve">, podemos notar que a variável </w:t>
      </w:r>
      <w:r w:rsidR="00AE7ECF">
        <w:rPr>
          <w:rFonts w:ascii="Gill Sans MT" w:hAnsi="Gill Sans MT" w:cs="Times New Roman"/>
          <w:sz w:val="24"/>
          <w:szCs w:val="24"/>
        </w:rPr>
        <w:t>i</w:t>
      </w:r>
      <w:r w:rsidRPr="00A42604">
        <w:rPr>
          <w:rFonts w:ascii="Gill Sans MT" w:hAnsi="Gill Sans MT" w:cs="Times New Roman"/>
          <w:sz w:val="24"/>
          <w:szCs w:val="24"/>
        </w:rPr>
        <w:t>nvestimentos</w:t>
      </w:r>
      <w:r w:rsidR="00EB4D79" w:rsidRPr="00A42604">
        <w:rPr>
          <w:rFonts w:ascii="Gill Sans MT" w:hAnsi="Gill Sans MT" w:cs="Times New Roman"/>
          <w:sz w:val="24"/>
          <w:szCs w:val="24"/>
        </w:rPr>
        <w:t xml:space="preserve"> e inversões</w:t>
      </w:r>
      <w:r w:rsidRPr="00A42604">
        <w:rPr>
          <w:rFonts w:ascii="Gill Sans MT" w:hAnsi="Gill Sans MT" w:cs="Times New Roman"/>
          <w:sz w:val="24"/>
          <w:szCs w:val="24"/>
        </w:rPr>
        <w:t xml:space="preserve"> </w:t>
      </w:r>
      <w:r w:rsidR="00EB4D79" w:rsidRPr="00A42604">
        <w:rPr>
          <w:rFonts w:ascii="Gill Sans MT" w:hAnsi="Gill Sans MT" w:cs="Times New Roman"/>
          <w:sz w:val="24"/>
          <w:szCs w:val="24"/>
        </w:rPr>
        <w:t>foi</w:t>
      </w:r>
      <w:r w:rsidRPr="00A42604">
        <w:rPr>
          <w:rFonts w:ascii="Gill Sans MT" w:hAnsi="Gill Sans MT" w:cs="Times New Roman"/>
          <w:sz w:val="24"/>
          <w:szCs w:val="24"/>
        </w:rPr>
        <w:t xml:space="preserve"> marginalmente maior do que zero em 2015.</w:t>
      </w:r>
    </w:p>
    <w:p w14:paraId="46F7A763" w14:textId="225D0FD5" w:rsidR="00D0049C" w:rsidRPr="00A42604" w:rsidRDefault="00D0049C" w:rsidP="005848EE">
      <w:pPr>
        <w:autoSpaceDE w:val="0"/>
        <w:autoSpaceDN w:val="0"/>
        <w:adjustRightInd w:val="0"/>
        <w:spacing w:after="0"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Em termos de funções do gasto público, a despesa estadual </w:t>
      </w:r>
      <w:r w:rsidR="00B2638D" w:rsidRPr="00A42604">
        <w:rPr>
          <w:rFonts w:ascii="Gill Sans MT" w:hAnsi="Gill Sans MT" w:cs="Times New Roman"/>
          <w:sz w:val="24"/>
          <w:szCs w:val="24"/>
        </w:rPr>
        <w:t xml:space="preserve">foi </w:t>
      </w:r>
      <w:r w:rsidRPr="00A42604">
        <w:rPr>
          <w:rFonts w:ascii="Gill Sans MT" w:hAnsi="Gill Sans MT" w:cs="Times New Roman"/>
          <w:sz w:val="24"/>
          <w:szCs w:val="24"/>
        </w:rPr>
        <w:t xml:space="preserve">dividida conforme </w:t>
      </w:r>
      <w:r w:rsidR="0075696C" w:rsidRPr="00A42604">
        <w:rPr>
          <w:rFonts w:ascii="Gill Sans MT" w:hAnsi="Gill Sans MT" w:cs="Times New Roman"/>
          <w:sz w:val="24"/>
          <w:szCs w:val="24"/>
        </w:rPr>
        <w:t xml:space="preserve">o gráfico </w:t>
      </w:r>
      <w:r w:rsidR="001E5401">
        <w:rPr>
          <w:rFonts w:ascii="Gill Sans MT" w:hAnsi="Gill Sans MT" w:cs="Times New Roman"/>
          <w:sz w:val="24"/>
          <w:szCs w:val="24"/>
        </w:rPr>
        <w:t>8</w:t>
      </w:r>
      <w:r w:rsidR="0075696C" w:rsidRPr="00A42604">
        <w:rPr>
          <w:rFonts w:ascii="Gill Sans MT" w:hAnsi="Gill Sans MT" w:cs="Times New Roman"/>
          <w:sz w:val="24"/>
          <w:szCs w:val="24"/>
        </w:rPr>
        <w:t xml:space="preserve"> </w:t>
      </w:r>
      <w:r w:rsidRPr="00A42604">
        <w:rPr>
          <w:rFonts w:ascii="Gill Sans MT" w:hAnsi="Gill Sans MT" w:cs="Times New Roman"/>
          <w:sz w:val="24"/>
          <w:szCs w:val="24"/>
        </w:rPr>
        <w:t>abaixo. Essa classificação permite avaliar as prioridades governamentais com relação à aplicação de recursos nos diferentes setores e a participação de cada função no montante total da despes</w:t>
      </w:r>
      <w:r w:rsidR="00E935AC" w:rsidRPr="00A42604">
        <w:rPr>
          <w:rFonts w:ascii="Gill Sans MT" w:hAnsi="Gill Sans MT" w:cs="Times New Roman"/>
          <w:sz w:val="24"/>
          <w:szCs w:val="24"/>
        </w:rPr>
        <w:t>a pública no período em análise, dando ideia mais precisa da recomposição</w:t>
      </w:r>
      <w:r w:rsidR="0075696C" w:rsidRPr="00A42604">
        <w:rPr>
          <w:rFonts w:ascii="Gill Sans MT" w:hAnsi="Gill Sans MT" w:cs="Times New Roman"/>
          <w:sz w:val="24"/>
          <w:szCs w:val="24"/>
        </w:rPr>
        <w:t xml:space="preserve"> – mudança nas prioridades -</w:t>
      </w:r>
      <w:r w:rsidR="00E935AC" w:rsidRPr="00A42604">
        <w:rPr>
          <w:rFonts w:ascii="Gill Sans MT" w:hAnsi="Gill Sans MT" w:cs="Times New Roman"/>
          <w:sz w:val="24"/>
          <w:szCs w:val="24"/>
        </w:rPr>
        <w:t xml:space="preserve"> do gasto público ao longo do tempo.</w:t>
      </w:r>
    </w:p>
    <w:p w14:paraId="25DD63CC" w14:textId="77777777" w:rsidR="005848EE" w:rsidRPr="00A42604" w:rsidRDefault="005848EE" w:rsidP="005848EE">
      <w:pPr>
        <w:autoSpaceDE w:val="0"/>
        <w:autoSpaceDN w:val="0"/>
        <w:adjustRightInd w:val="0"/>
        <w:spacing w:after="0" w:line="360" w:lineRule="auto"/>
        <w:ind w:firstLine="1134"/>
        <w:jc w:val="both"/>
        <w:rPr>
          <w:rFonts w:ascii="Gill Sans MT" w:hAnsi="Gill Sans MT" w:cs="Times New Roman"/>
          <w:sz w:val="24"/>
          <w:szCs w:val="24"/>
        </w:rPr>
      </w:pPr>
    </w:p>
    <w:p w14:paraId="394A52FD" w14:textId="79B8B334" w:rsidR="00D0049C" w:rsidRPr="00A42604" w:rsidRDefault="005848EE" w:rsidP="00E935AC">
      <w:pPr>
        <w:autoSpaceDE w:val="0"/>
        <w:autoSpaceDN w:val="0"/>
        <w:adjustRightInd w:val="0"/>
        <w:spacing w:after="0" w:line="240" w:lineRule="auto"/>
        <w:jc w:val="center"/>
        <w:rPr>
          <w:rFonts w:ascii="Gill Sans MT" w:hAnsi="Gill Sans MT" w:cs="Times New Roman"/>
          <w:b/>
          <w:sz w:val="24"/>
          <w:szCs w:val="24"/>
        </w:rPr>
      </w:pPr>
      <w:r w:rsidRPr="00A42604">
        <w:rPr>
          <w:rFonts w:ascii="Gill Sans MT" w:hAnsi="Gill Sans MT" w:cs="Times New Roman"/>
          <w:b/>
          <w:sz w:val="24"/>
          <w:szCs w:val="24"/>
        </w:rPr>
        <w:t xml:space="preserve">Gráfico </w:t>
      </w:r>
      <w:r w:rsidR="001E5401">
        <w:rPr>
          <w:rFonts w:ascii="Gill Sans MT" w:hAnsi="Gill Sans MT" w:cs="Times New Roman"/>
          <w:b/>
          <w:sz w:val="24"/>
          <w:szCs w:val="24"/>
        </w:rPr>
        <w:t>8</w:t>
      </w:r>
      <w:r w:rsidRPr="00A42604">
        <w:rPr>
          <w:rFonts w:ascii="Gill Sans MT" w:hAnsi="Gill Sans MT" w:cs="Times New Roman"/>
          <w:b/>
          <w:sz w:val="24"/>
          <w:szCs w:val="24"/>
        </w:rPr>
        <w:t xml:space="preserve"> – Despesa estadual por função de gasto -</w:t>
      </w:r>
      <w:r w:rsidR="00CC0651" w:rsidRPr="00A42604">
        <w:rPr>
          <w:rFonts w:ascii="Gill Sans MT" w:hAnsi="Gill Sans MT" w:cs="Times New Roman"/>
          <w:b/>
          <w:sz w:val="24"/>
          <w:szCs w:val="24"/>
        </w:rPr>
        <w:t xml:space="preserve"> 2000</w:t>
      </w:r>
      <w:r w:rsidRPr="00A42604">
        <w:rPr>
          <w:rFonts w:ascii="Gill Sans MT" w:hAnsi="Gill Sans MT" w:cs="Times New Roman"/>
          <w:b/>
          <w:sz w:val="24"/>
          <w:szCs w:val="24"/>
        </w:rPr>
        <w:t>-2015</w:t>
      </w:r>
    </w:p>
    <w:p w14:paraId="0E0089F5" w14:textId="2D719A00" w:rsidR="00E935AC" w:rsidRPr="00A42604" w:rsidRDefault="00E935AC" w:rsidP="0078167A">
      <w:pPr>
        <w:rPr>
          <w:rFonts w:ascii="Gill Sans MT" w:eastAsia="Times New Roman" w:hAnsi="Gill Sans MT" w:cs="Times New Roman"/>
          <w:sz w:val="16"/>
          <w:szCs w:val="16"/>
          <w:lang w:eastAsia="pt-BR"/>
        </w:rPr>
      </w:pPr>
      <w:r w:rsidRPr="00A42604">
        <w:rPr>
          <w:noProof/>
          <w:lang w:eastAsia="pt-BR"/>
        </w:rPr>
        <w:drawing>
          <wp:inline distT="0" distB="0" distL="0" distR="0" wp14:anchorId="5E94EB38" wp14:editId="3EF2E5BE">
            <wp:extent cx="5597769" cy="2303584"/>
            <wp:effectExtent l="0" t="0" r="3175" b="190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A42604">
        <w:rPr>
          <w:rFonts w:ascii="Gill Sans MT" w:eastAsia="Times New Roman" w:hAnsi="Gill Sans MT" w:cs="Times New Roman"/>
          <w:sz w:val="16"/>
          <w:szCs w:val="16"/>
          <w:lang w:eastAsia="pt-BR"/>
        </w:rPr>
        <w:t>Fonte: cubos BI, SEFAZ-RS.</w:t>
      </w:r>
    </w:p>
    <w:p w14:paraId="6FEBAA7C" w14:textId="77777777" w:rsidR="00D0049C" w:rsidRPr="00A42604" w:rsidRDefault="00D0049C" w:rsidP="00040CBA">
      <w:pPr>
        <w:spacing w:line="360" w:lineRule="auto"/>
        <w:ind w:firstLine="1134"/>
        <w:jc w:val="both"/>
        <w:rPr>
          <w:rFonts w:ascii="Gill Sans MT" w:hAnsi="Gill Sans MT"/>
          <w:noProof/>
          <w:sz w:val="24"/>
          <w:szCs w:val="24"/>
          <w:lang w:eastAsia="pt-BR"/>
        </w:rPr>
      </w:pPr>
      <w:r w:rsidRPr="00A42604">
        <w:rPr>
          <w:rFonts w:ascii="Gill Sans MT" w:hAnsi="Gill Sans MT"/>
          <w:noProof/>
          <w:sz w:val="24"/>
          <w:szCs w:val="24"/>
          <w:lang w:eastAsia="pt-BR"/>
        </w:rPr>
        <w:lastRenderedPageBreak/>
        <w:t>Como pode ser visto, há uma concentração de gastos em poucas funções. Os destaques são a educação, a segurança, a saúde e a função previdência social, que para o Estado, é a função onde é classificada a previdência dos seus servidores e os encargos especiais, que engloba transferências aos municípios e encargos da dívida, além de outros de menor vulto. Juntas essas cinco funções somaram 81,5% do orçamento público em 201</w:t>
      </w:r>
      <w:r w:rsidR="00CC0651" w:rsidRPr="00A42604">
        <w:rPr>
          <w:rFonts w:ascii="Gill Sans MT" w:hAnsi="Gill Sans MT"/>
          <w:noProof/>
          <w:sz w:val="24"/>
          <w:szCs w:val="24"/>
          <w:lang w:eastAsia="pt-BR"/>
        </w:rPr>
        <w:t>5</w:t>
      </w:r>
      <w:r w:rsidRPr="00A42604">
        <w:rPr>
          <w:rFonts w:ascii="Gill Sans MT" w:hAnsi="Gill Sans MT"/>
          <w:noProof/>
          <w:sz w:val="24"/>
          <w:szCs w:val="24"/>
          <w:lang w:eastAsia="pt-BR"/>
        </w:rPr>
        <w:t>.</w:t>
      </w:r>
    </w:p>
    <w:p w14:paraId="3EF858E6" w14:textId="4685B61B" w:rsidR="00D0049C" w:rsidRPr="00A42604" w:rsidRDefault="00D0049C" w:rsidP="00040CBA">
      <w:pPr>
        <w:spacing w:line="360" w:lineRule="auto"/>
        <w:ind w:firstLine="1134"/>
        <w:jc w:val="both"/>
        <w:rPr>
          <w:rFonts w:ascii="Gill Sans MT" w:hAnsi="Gill Sans MT"/>
          <w:noProof/>
          <w:sz w:val="24"/>
          <w:szCs w:val="24"/>
          <w:lang w:eastAsia="pt-BR"/>
        </w:rPr>
      </w:pPr>
      <w:r w:rsidRPr="00A42604">
        <w:rPr>
          <w:rFonts w:ascii="Gill Sans MT" w:hAnsi="Gill Sans MT"/>
          <w:noProof/>
          <w:sz w:val="24"/>
          <w:szCs w:val="24"/>
          <w:lang w:eastAsia="pt-BR"/>
        </w:rPr>
        <w:t>Podemos observar que a maior parte do gasto está relacionado ao passado: a dívida que consome 13% da R</w:t>
      </w:r>
      <w:r w:rsidR="00CC0651" w:rsidRPr="00A42604">
        <w:rPr>
          <w:rFonts w:ascii="Gill Sans MT" w:hAnsi="Gill Sans MT"/>
          <w:noProof/>
          <w:sz w:val="24"/>
          <w:szCs w:val="24"/>
          <w:lang w:eastAsia="pt-BR"/>
        </w:rPr>
        <w:t>LR</w:t>
      </w:r>
      <w:r w:rsidRPr="00A42604">
        <w:rPr>
          <w:rFonts w:ascii="Gill Sans MT" w:hAnsi="Gill Sans MT"/>
          <w:noProof/>
          <w:sz w:val="24"/>
          <w:szCs w:val="24"/>
          <w:lang w:eastAsia="pt-BR"/>
        </w:rPr>
        <w:t>, e a previdência dos servidores públicos, com déficits anuais em torno de R$ 7 bilhões, consomem juntas em torno de 40% da RCL atual do RS</w:t>
      </w:r>
      <w:r w:rsidR="00F548AB" w:rsidRPr="00A42604">
        <w:rPr>
          <w:rFonts w:ascii="Gill Sans MT" w:hAnsi="Gill Sans MT"/>
          <w:noProof/>
          <w:sz w:val="24"/>
          <w:szCs w:val="24"/>
          <w:lang w:eastAsia="pt-BR"/>
        </w:rPr>
        <w:t>, e esse comportamento vem piorando ao</w:t>
      </w:r>
      <w:r w:rsidR="00DF034C" w:rsidRPr="00A42604">
        <w:rPr>
          <w:rFonts w:ascii="Gill Sans MT" w:hAnsi="Gill Sans MT"/>
          <w:noProof/>
          <w:sz w:val="24"/>
          <w:szCs w:val="24"/>
          <w:lang w:eastAsia="pt-BR"/>
        </w:rPr>
        <w:t xml:space="preserve"> </w:t>
      </w:r>
      <w:r w:rsidR="00F548AB" w:rsidRPr="00A42604">
        <w:rPr>
          <w:rFonts w:ascii="Gill Sans MT" w:hAnsi="Gill Sans MT"/>
          <w:noProof/>
          <w:sz w:val="24"/>
          <w:szCs w:val="24"/>
          <w:lang w:eastAsia="pt-BR"/>
        </w:rPr>
        <w:t>longo do tempo. A despesa com o item “</w:t>
      </w:r>
      <w:r w:rsidR="00655EFA" w:rsidRPr="00A42604">
        <w:rPr>
          <w:rFonts w:ascii="Gill Sans MT" w:hAnsi="Gill Sans MT"/>
          <w:noProof/>
          <w:sz w:val="24"/>
          <w:szCs w:val="24"/>
          <w:lang w:eastAsia="pt-BR"/>
        </w:rPr>
        <w:t xml:space="preserve">previdência </w:t>
      </w:r>
      <w:r w:rsidR="00F548AB" w:rsidRPr="00A42604">
        <w:rPr>
          <w:rFonts w:ascii="Gill Sans MT" w:hAnsi="Gill Sans MT"/>
          <w:noProof/>
          <w:sz w:val="24"/>
          <w:szCs w:val="24"/>
          <w:lang w:eastAsia="pt-BR"/>
        </w:rPr>
        <w:t xml:space="preserve">social” que em 2000 era de pouco mais de 7% da despesa total, atingiu em 2015 quase 26% da despesa total, valores que colocam o RS na ponta de uma lista dos estados que mais tem despesa desse </w:t>
      </w:r>
      <w:r w:rsidR="00805C4E" w:rsidRPr="00A42604">
        <w:rPr>
          <w:rFonts w:ascii="Gill Sans MT" w:hAnsi="Gill Sans MT"/>
          <w:noProof/>
          <w:sz w:val="24"/>
          <w:szCs w:val="24"/>
          <w:lang w:eastAsia="pt-BR"/>
        </w:rPr>
        <w:t>t</w:t>
      </w:r>
      <w:r w:rsidR="00F548AB" w:rsidRPr="00A42604">
        <w:rPr>
          <w:rFonts w:ascii="Gill Sans MT" w:hAnsi="Gill Sans MT"/>
          <w:noProof/>
          <w:sz w:val="24"/>
          <w:szCs w:val="24"/>
          <w:lang w:eastAsia="pt-BR"/>
        </w:rPr>
        <w:t>ipo no Brasil.</w:t>
      </w:r>
      <w:r w:rsidR="00397DC6" w:rsidRPr="00A42604">
        <w:rPr>
          <w:rFonts w:ascii="Gill Sans MT" w:hAnsi="Gill Sans MT"/>
          <w:noProof/>
          <w:sz w:val="24"/>
          <w:szCs w:val="24"/>
          <w:lang w:eastAsia="pt-BR"/>
        </w:rPr>
        <w:t xml:space="preserve"> Em termos de dinâmica temporal, poderia se afirmar que as funções “previd</w:t>
      </w:r>
      <w:r w:rsidR="00006A3F">
        <w:rPr>
          <w:rFonts w:ascii="Gill Sans MT" w:hAnsi="Gill Sans MT"/>
          <w:noProof/>
          <w:sz w:val="24"/>
          <w:szCs w:val="24"/>
          <w:lang w:eastAsia="pt-BR"/>
        </w:rPr>
        <w:t>ê</w:t>
      </w:r>
      <w:r w:rsidR="00397DC6" w:rsidRPr="00A42604">
        <w:rPr>
          <w:rFonts w:ascii="Gill Sans MT" w:hAnsi="Gill Sans MT"/>
          <w:noProof/>
          <w:sz w:val="24"/>
          <w:szCs w:val="24"/>
          <w:lang w:eastAsia="pt-BR"/>
        </w:rPr>
        <w:t>ncia” e “saúde’ tem tomado espaço de outras funções como a “educação”.</w:t>
      </w:r>
    </w:p>
    <w:p w14:paraId="58774127" w14:textId="204FEECD" w:rsidR="00F635D9" w:rsidRPr="00A42604" w:rsidRDefault="00F548AB" w:rsidP="003C3C90">
      <w:pPr>
        <w:spacing w:line="360" w:lineRule="auto"/>
        <w:ind w:firstLine="1134"/>
        <w:jc w:val="both"/>
        <w:rPr>
          <w:rFonts w:ascii="Gill Sans MT" w:hAnsi="Gill Sans MT"/>
          <w:noProof/>
          <w:sz w:val="24"/>
          <w:szCs w:val="24"/>
          <w:lang w:eastAsia="pt-BR"/>
        </w:rPr>
      </w:pPr>
      <w:r w:rsidRPr="00A42604">
        <w:rPr>
          <w:rFonts w:ascii="Gill Sans MT" w:hAnsi="Gill Sans MT"/>
          <w:noProof/>
          <w:sz w:val="24"/>
          <w:szCs w:val="24"/>
          <w:lang w:eastAsia="pt-BR"/>
        </w:rPr>
        <w:t>Se considerarmos a despesa de pes</w:t>
      </w:r>
      <w:r w:rsidR="00805C4E" w:rsidRPr="00A42604">
        <w:rPr>
          <w:rFonts w:ascii="Gill Sans MT" w:hAnsi="Gill Sans MT"/>
          <w:noProof/>
          <w:sz w:val="24"/>
          <w:szCs w:val="24"/>
          <w:lang w:eastAsia="pt-BR"/>
        </w:rPr>
        <w:t xml:space="preserve">soal como um todo, aí incluído </w:t>
      </w:r>
      <w:r w:rsidRPr="00A42604">
        <w:rPr>
          <w:rFonts w:ascii="Gill Sans MT" w:hAnsi="Gill Sans MT"/>
          <w:noProof/>
          <w:sz w:val="24"/>
          <w:szCs w:val="24"/>
          <w:lang w:eastAsia="pt-BR"/>
        </w:rPr>
        <w:t>o déficit previd</w:t>
      </w:r>
      <w:r w:rsidR="00006A3F">
        <w:rPr>
          <w:rFonts w:ascii="Gill Sans MT" w:hAnsi="Gill Sans MT"/>
          <w:noProof/>
          <w:sz w:val="24"/>
          <w:szCs w:val="24"/>
          <w:lang w:eastAsia="pt-BR"/>
        </w:rPr>
        <w:t>ê</w:t>
      </w:r>
      <w:r w:rsidRPr="00A42604">
        <w:rPr>
          <w:rFonts w:ascii="Gill Sans MT" w:hAnsi="Gill Sans MT"/>
          <w:noProof/>
          <w:sz w:val="24"/>
          <w:szCs w:val="24"/>
          <w:lang w:eastAsia="pt-BR"/>
        </w:rPr>
        <w:t xml:space="preserve">nciário, </w:t>
      </w:r>
      <w:r w:rsidR="00F635D9" w:rsidRPr="00A42604">
        <w:rPr>
          <w:rFonts w:ascii="Gill Sans MT" w:hAnsi="Gill Sans MT"/>
          <w:noProof/>
          <w:sz w:val="24"/>
          <w:szCs w:val="24"/>
          <w:lang w:eastAsia="pt-BR"/>
        </w:rPr>
        <w:t>RS é um dos estados que mais gasta com pessoal, relativamente aos outros estados do Brasil</w:t>
      </w:r>
      <w:r w:rsidR="005B39CE" w:rsidRPr="00A42604">
        <w:rPr>
          <w:rFonts w:ascii="Gill Sans MT" w:hAnsi="Gill Sans MT"/>
          <w:noProof/>
          <w:sz w:val="24"/>
          <w:szCs w:val="24"/>
          <w:lang w:eastAsia="pt-BR"/>
        </w:rPr>
        <w:t xml:space="preserve">, </w:t>
      </w:r>
      <w:r w:rsidR="00D8495A" w:rsidRPr="00A42604">
        <w:rPr>
          <w:rFonts w:ascii="Gill Sans MT" w:hAnsi="Gill Sans MT"/>
          <w:noProof/>
          <w:sz w:val="24"/>
          <w:szCs w:val="24"/>
          <w:lang w:eastAsia="pt-BR"/>
        </w:rPr>
        <w:t>ficando em 8º lugar nesse ranking</w:t>
      </w:r>
      <w:r w:rsidR="0086112E" w:rsidRPr="00A42604">
        <w:rPr>
          <w:rFonts w:ascii="Gill Sans MT" w:hAnsi="Gill Sans MT"/>
          <w:noProof/>
          <w:sz w:val="24"/>
          <w:szCs w:val="24"/>
          <w:lang w:eastAsia="pt-BR"/>
        </w:rPr>
        <w:t xml:space="preserve">, com gasto </w:t>
      </w:r>
      <w:r w:rsidR="0086112E" w:rsidRPr="006734FD">
        <w:rPr>
          <w:rFonts w:ascii="Gill Sans MT" w:hAnsi="Gill Sans MT"/>
          <w:noProof/>
          <w:sz w:val="24"/>
          <w:szCs w:val="24"/>
          <w:lang w:eastAsia="pt-BR"/>
        </w:rPr>
        <w:t>per</w:t>
      </w:r>
      <w:r w:rsidR="006734FD" w:rsidRPr="006734FD">
        <w:rPr>
          <w:rFonts w:ascii="Gill Sans MT" w:hAnsi="Gill Sans MT"/>
          <w:noProof/>
          <w:sz w:val="24"/>
          <w:szCs w:val="24"/>
          <w:lang w:eastAsia="pt-BR"/>
        </w:rPr>
        <w:t xml:space="preserve"> </w:t>
      </w:r>
      <w:r w:rsidR="0086112E" w:rsidRPr="006734FD">
        <w:rPr>
          <w:rFonts w:ascii="Gill Sans MT" w:hAnsi="Gill Sans MT"/>
          <w:noProof/>
          <w:sz w:val="24"/>
          <w:szCs w:val="24"/>
          <w:lang w:eastAsia="pt-BR"/>
        </w:rPr>
        <w:t>capita</w:t>
      </w:r>
      <w:r w:rsidR="0086112E" w:rsidRPr="00A42604">
        <w:rPr>
          <w:rFonts w:ascii="Gill Sans MT" w:hAnsi="Gill Sans MT"/>
          <w:noProof/>
          <w:sz w:val="24"/>
          <w:szCs w:val="24"/>
          <w:lang w:eastAsia="pt-BR"/>
        </w:rPr>
        <w:t xml:space="preserve"> de R$ 2.279,27</w:t>
      </w:r>
      <w:r w:rsidR="00D8495A" w:rsidRPr="00A42604">
        <w:rPr>
          <w:rFonts w:ascii="Gill Sans MT" w:hAnsi="Gill Sans MT"/>
          <w:noProof/>
          <w:sz w:val="24"/>
          <w:szCs w:val="24"/>
          <w:lang w:eastAsia="pt-BR"/>
        </w:rPr>
        <w:t>.</w:t>
      </w:r>
      <w:r w:rsidR="00F635D9" w:rsidRPr="00A42604">
        <w:rPr>
          <w:rFonts w:ascii="Gill Sans MT" w:hAnsi="Gill Sans MT"/>
          <w:noProof/>
          <w:sz w:val="24"/>
          <w:szCs w:val="24"/>
          <w:lang w:eastAsia="pt-BR"/>
        </w:rPr>
        <w:t xml:space="preserve"> Esse gasto tão mais acentuado tem raízes diretas com as fases de desenvolvimento e a estrutura etária</w:t>
      </w:r>
      <w:r w:rsidR="000E7A95" w:rsidRPr="00A42604">
        <w:rPr>
          <w:rFonts w:ascii="Gill Sans MT" w:hAnsi="Gill Sans MT"/>
          <w:noProof/>
          <w:sz w:val="24"/>
          <w:szCs w:val="24"/>
          <w:lang w:eastAsia="pt-BR"/>
        </w:rPr>
        <w:t xml:space="preserve"> mais madura</w:t>
      </w:r>
      <w:r w:rsidR="00F635D9" w:rsidRPr="00A42604">
        <w:rPr>
          <w:rFonts w:ascii="Gill Sans MT" w:hAnsi="Gill Sans MT"/>
          <w:noProof/>
          <w:sz w:val="24"/>
          <w:szCs w:val="24"/>
          <w:lang w:eastAsia="pt-BR"/>
        </w:rPr>
        <w:t xml:space="preserve"> da p</w:t>
      </w:r>
      <w:r w:rsidR="00BF4331" w:rsidRPr="00A42604">
        <w:rPr>
          <w:rFonts w:ascii="Gill Sans MT" w:hAnsi="Gill Sans MT"/>
          <w:noProof/>
          <w:sz w:val="24"/>
          <w:szCs w:val="24"/>
          <w:lang w:eastAsia="pt-BR"/>
        </w:rPr>
        <w:t>o</w:t>
      </w:r>
      <w:r w:rsidR="00F635D9" w:rsidRPr="00A42604">
        <w:rPr>
          <w:rFonts w:ascii="Gill Sans MT" w:hAnsi="Gill Sans MT"/>
          <w:noProof/>
          <w:sz w:val="24"/>
          <w:szCs w:val="24"/>
          <w:lang w:eastAsia="pt-BR"/>
        </w:rPr>
        <w:t>pulação gaúcha</w:t>
      </w:r>
      <w:r w:rsidR="00E27F11" w:rsidRPr="00A42604">
        <w:rPr>
          <w:rFonts w:ascii="Gill Sans MT" w:hAnsi="Gill Sans MT"/>
          <w:noProof/>
          <w:sz w:val="24"/>
          <w:szCs w:val="24"/>
          <w:lang w:eastAsia="pt-BR"/>
        </w:rPr>
        <w:t xml:space="preserve">, </w:t>
      </w:r>
      <w:r w:rsidR="00851F13" w:rsidRPr="00A42604">
        <w:rPr>
          <w:rFonts w:ascii="Gill Sans MT" w:hAnsi="Gill Sans MT"/>
          <w:noProof/>
          <w:sz w:val="24"/>
          <w:szCs w:val="24"/>
          <w:lang w:eastAsia="pt-BR"/>
        </w:rPr>
        <w:t xml:space="preserve">bem como </w:t>
      </w:r>
      <w:r w:rsidR="00E27F11" w:rsidRPr="00A42604">
        <w:rPr>
          <w:rFonts w:ascii="Gill Sans MT" w:hAnsi="Gill Sans MT"/>
          <w:noProof/>
          <w:sz w:val="24"/>
          <w:szCs w:val="24"/>
          <w:lang w:eastAsia="pt-BR"/>
        </w:rPr>
        <w:t>sua preced</w:t>
      </w:r>
      <w:r w:rsidR="00DF034C" w:rsidRPr="00A42604">
        <w:rPr>
          <w:rFonts w:ascii="Gill Sans MT" w:hAnsi="Gill Sans MT"/>
          <w:noProof/>
          <w:sz w:val="24"/>
          <w:szCs w:val="24"/>
          <w:lang w:eastAsia="pt-BR"/>
        </w:rPr>
        <w:t>ê</w:t>
      </w:r>
      <w:r w:rsidR="00E27F11" w:rsidRPr="00A42604">
        <w:rPr>
          <w:rFonts w:ascii="Gill Sans MT" w:hAnsi="Gill Sans MT"/>
          <w:noProof/>
          <w:sz w:val="24"/>
          <w:szCs w:val="24"/>
          <w:lang w:eastAsia="pt-BR"/>
        </w:rPr>
        <w:t>ncia em muitas questões que outros esta</w:t>
      </w:r>
      <w:r w:rsidR="00CC3224" w:rsidRPr="00A42604">
        <w:rPr>
          <w:rFonts w:ascii="Gill Sans MT" w:hAnsi="Gill Sans MT"/>
          <w:noProof/>
          <w:sz w:val="24"/>
          <w:szCs w:val="24"/>
          <w:lang w:eastAsia="pt-BR"/>
        </w:rPr>
        <w:t xml:space="preserve">dos abordaram apenas anos mais </w:t>
      </w:r>
      <w:r w:rsidR="00D8495A" w:rsidRPr="00A42604">
        <w:rPr>
          <w:rFonts w:ascii="Gill Sans MT" w:hAnsi="Gill Sans MT"/>
          <w:noProof/>
          <w:sz w:val="24"/>
          <w:szCs w:val="24"/>
          <w:lang w:eastAsia="pt-BR"/>
        </w:rPr>
        <w:t>tarde, como gastos em saúde,</w:t>
      </w:r>
      <w:r w:rsidR="00E27F11" w:rsidRPr="00A42604">
        <w:rPr>
          <w:rFonts w:ascii="Gill Sans MT" w:hAnsi="Gill Sans MT"/>
          <w:noProof/>
          <w:sz w:val="24"/>
          <w:szCs w:val="24"/>
          <w:lang w:eastAsia="pt-BR"/>
        </w:rPr>
        <w:t xml:space="preserve"> educação e segurança.</w:t>
      </w:r>
    </w:p>
    <w:p w14:paraId="720B4796" w14:textId="7FCF785C" w:rsidR="00B87FA3" w:rsidRPr="00A42604" w:rsidRDefault="00B87FA3" w:rsidP="00B87FA3">
      <w:pPr>
        <w:autoSpaceDE w:val="0"/>
        <w:autoSpaceDN w:val="0"/>
        <w:adjustRightInd w:val="0"/>
        <w:spacing w:after="0" w:line="240" w:lineRule="auto"/>
        <w:ind w:left="1134" w:right="1132"/>
        <w:jc w:val="center"/>
        <w:rPr>
          <w:rFonts w:ascii="Gill Sans MT" w:hAnsi="Gill Sans MT" w:cs="Times New Roman"/>
          <w:b/>
          <w:sz w:val="24"/>
          <w:szCs w:val="24"/>
        </w:rPr>
      </w:pPr>
      <w:r w:rsidRPr="00A42604">
        <w:rPr>
          <w:rFonts w:ascii="Gill Sans MT" w:hAnsi="Gill Sans MT" w:cs="Times New Roman"/>
          <w:b/>
          <w:sz w:val="24"/>
          <w:szCs w:val="24"/>
        </w:rPr>
        <w:t xml:space="preserve">Gráfico </w:t>
      </w:r>
      <w:r w:rsidR="001E5401">
        <w:rPr>
          <w:rFonts w:ascii="Gill Sans MT" w:hAnsi="Gill Sans MT" w:cs="Times New Roman"/>
          <w:b/>
          <w:sz w:val="24"/>
          <w:szCs w:val="24"/>
        </w:rPr>
        <w:t>9</w:t>
      </w:r>
      <w:r w:rsidRPr="00A42604">
        <w:rPr>
          <w:rFonts w:ascii="Gill Sans MT" w:hAnsi="Gill Sans MT" w:cs="Times New Roman"/>
          <w:b/>
          <w:sz w:val="24"/>
          <w:szCs w:val="24"/>
        </w:rPr>
        <w:t xml:space="preserve"> – Mapa com o a despesa de pessoal per capita por estado da federação 2015</w:t>
      </w:r>
    </w:p>
    <w:p w14:paraId="35C63E34" w14:textId="77777777" w:rsidR="00D477A3" w:rsidRPr="00A42604" w:rsidRDefault="00D477A3" w:rsidP="00B87FA3">
      <w:pPr>
        <w:autoSpaceDE w:val="0"/>
        <w:autoSpaceDN w:val="0"/>
        <w:adjustRightInd w:val="0"/>
        <w:spacing w:after="0" w:line="240" w:lineRule="auto"/>
        <w:ind w:left="1134" w:right="1132"/>
        <w:jc w:val="center"/>
        <w:rPr>
          <w:rFonts w:ascii="Gill Sans MT" w:hAnsi="Gill Sans MT" w:cs="Times New Roman"/>
          <w:b/>
          <w:sz w:val="24"/>
          <w:szCs w:val="24"/>
        </w:rPr>
      </w:pPr>
    </w:p>
    <w:p w14:paraId="114D1C59" w14:textId="77777777" w:rsidR="00D477A3" w:rsidRPr="00A42604" w:rsidRDefault="00D477A3" w:rsidP="00B87FA3">
      <w:pPr>
        <w:autoSpaceDE w:val="0"/>
        <w:autoSpaceDN w:val="0"/>
        <w:adjustRightInd w:val="0"/>
        <w:spacing w:after="0" w:line="240" w:lineRule="auto"/>
        <w:ind w:left="1134" w:right="1132"/>
        <w:jc w:val="center"/>
        <w:rPr>
          <w:rFonts w:ascii="Gill Sans MT" w:hAnsi="Gill Sans MT" w:cs="Times New Roman"/>
          <w:b/>
          <w:sz w:val="24"/>
          <w:szCs w:val="24"/>
        </w:rPr>
      </w:pPr>
    </w:p>
    <w:p w14:paraId="5645326F" w14:textId="2E48B749" w:rsidR="009312F5" w:rsidRPr="00A42604" w:rsidRDefault="00E72A29" w:rsidP="00805C4E">
      <w:pPr>
        <w:ind w:firstLine="284"/>
        <w:rPr>
          <w:rFonts w:ascii="Gill Sans MT" w:hAnsi="Gill Sans MT" w:cs="Times New Roman"/>
          <w:b/>
          <w:sz w:val="24"/>
          <w:szCs w:val="24"/>
        </w:rPr>
      </w:pPr>
      <w:r>
        <w:rPr>
          <w:noProof/>
          <w:lang w:eastAsia="pt-BR"/>
        </w:rPr>
        <w:drawing>
          <wp:inline distT="0" distB="0" distL="0" distR="0" wp14:anchorId="36AC48A8" wp14:editId="44AC40D9">
            <wp:extent cx="1377008" cy="909917"/>
            <wp:effectExtent l="0" t="0" r="0" b="508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08977" cy="931042"/>
                    </a:xfrm>
                    <a:prstGeom prst="rect">
                      <a:avLst/>
                    </a:prstGeom>
                  </pic:spPr>
                </pic:pic>
              </a:graphicData>
            </a:graphic>
          </wp:inline>
        </w:drawing>
      </w:r>
      <w:r w:rsidR="009312F5" w:rsidRPr="00A42604">
        <w:rPr>
          <w:rFonts w:ascii="Gill Sans MT" w:hAnsi="Gill Sans MT"/>
          <w:noProof/>
          <w:sz w:val="24"/>
          <w:szCs w:val="24"/>
          <w:lang w:eastAsia="pt-BR"/>
        </w:rPr>
        <w:drawing>
          <wp:inline distT="0" distB="0" distL="0" distR="0" wp14:anchorId="188A5011" wp14:editId="279CBE66">
            <wp:extent cx="2970334" cy="2465965"/>
            <wp:effectExtent l="0" t="0" r="190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83962" cy="2477279"/>
                    </a:xfrm>
                    <a:prstGeom prst="rect">
                      <a:avLst/>
                    </a:prstGeom>
                  </pic:spPr>
                </pic:pic>
              </a:graphicData>
            </a:graphic>
          </wp:inline>
        </w:drawing>
      </w:r>
    </w:p>
    <w:p w14:paraId="78F60251" w14:textId="038318FB" w:rsidR="004B16F8" w:rsidRPr="00A42604" w:rsidRDefault="004B16F8" w:rsidP="004B16F8">
      <w:pPr>
        <w:spacing w:line="360" w:lineRule="auto"/>
        <w:ind w:firstLine="1134"/>
        <w:jc w:val="both"/>
        <w:rPr>
          <w:rFonts w:ascii="Gill Sans MT" w:hAnsi="Gill Sans MT"/>
          <w:noProof/>
          <w:sz w:val="24"/>
          <w:szCs w:val="24"/>
          <w:lang w:eastAsia="pt-BR"/>
        </w:rPr>
      </w:pPr>
      <w:r w:rsidRPr="00A42604">
        <w:rPr>
          <w:rFonts w:ascii="Gill Sans MT" w:hAnsi="Gill Sans MT"/>
          <w:noProof/>
          <w:sz w:val="24"/>
          <w:szCs w:val="24"/>
          <w:lang w:eastAsia="pt-BR"/>
        </w:rPr>
        <w:lastRenderedPageBreak/>
        <w:t xml:space="preserve">Soma-se a isso o processo acelerado de envelhecimento da população gaúcha, que teve seu ápice no </w:t>
      </w:r>
      <w:r w:rsidR="00655EFA" w:rsidRPr="00A42604">
        <w:rPr>
          <w:rFonts w:ascii="Gill Sans MT" w:hAnsi="Gill Sans MT"/>
          <w:noProof/>
          <w:sz w:val="24"/>
          <w:szCs w:val="24"/>
          <w:lang w:eastAsia="pt-BR"/>
        </w:rPr>
        <w:t xml:space="preserve">bônus </w:t>
      </w:r>
      <w:r w:rsidRPr="00A42604">
        <w:rPr>
          <w:rFonts w:ascii="Gill Sans MT" w:hAnsi="Gill Sans MT"/>
          <w:noProof/>
          <w:sz w:val="24"/>
          <w:szCs w:val="24"/>
          <w:lang w:eastAsia="pt-BR"/>
        </w:rPr>
        <w:t>demográfico em 2015, e a pa</w:t>
      </w:r>
      <w:r w:rsidR="00056019" w:rsidRPr="00A42604">
        <w:rPr>
          <w:rFonts w:ascii="Gill Sans MT" w:hAnsi="Gill Sans MT"/>
          <w:noProof/>
          <w:sz w:val="24"/>
          <w:szCs w:val="24"/>
          <w:lang w:eastAsia="pt-BR"/>
        </w:rPr>
        <w:t>rtir de agora a razão de dependê</w:t>
      </w:r>
      <w:r w:rsidRPr="00A42604">
        <w:rPr>
          <w:rFonts w:ascii="Gill Sans MT" w:hAnsi="Gill Sans MT"/>
          <w:noProof/>
          <w:sz w:val="24"/>
          <w:szCs w:val="24"/>
          <w:lang w:eastAsia="pt-BR"/>
        </w:rPr>
        <w:t xml:space="preserve">ncia </w:t>
      </w:r>
      <w:r w:rsidR="00655EFA" w:rsidRPr="00A42604">
        <w:rPr>
          <w:rFonts w:ascii="Gill Sans MT" w:hAnsi="Gill Sans MT"/>
          <w:noProof/>
          <w:sz w:val="24"/>
          <w:szCs w:val="24"/>
          <w:lang w:eastAsia="pt-BR"/>
        </w:rPr>
        <w:t>co</w:t>
      </w:r>
      <w:r w:rsidR="00006A3F">
        <w:rPr>
          <w:rFonts w:ascii="Gill Sans MT" w:hAnsi="Gill Sans MT"/>
          <w:noProof/>
          <w:sz w:val="24"/>
          <w:szCs w:val="24"/>
          <w:lang w:eastAsia="pt-BR"/>
        </w:rPr>
        <w:t>ntinuará</w:t>
      </w:r>
      <w:r w:rsidR="00655EFA" w:rsidRPr="00A42604">
        <w:rPr>
          <w:rFonts w:ascii="Gill Sans MT" w:hAnsi="Gill Sans MT"/>
          <w:noProof/>
          <w:sz w:val="24"/>
          <w:szCs w:val="24"/>
          <w:lang w:eastAsia="pt-BR"/>
        </w:rPr>
        <w:t xml:space="preserve"> </w:t>
      </w:r>
      <w:r w:rsidRPr="00A42604">
        <w:rPr>
          <w:rFonts w:ascii="Gill Sans MT" w:hAnsi="Gill Sans MT"/>
          <w:noProof/>
          <w:sz w:val="24"/>
          <w:szCs w:val="24"/>
          <w:lang w:eastAsia="pt-BR"/>
        </w:rPr>
        <w:t xml:space="preserve">a diminuir, ou seja, mais pessoas de 0 a 15 anos e acima de 60 anos </w:t>
      </w:r>
      <w:r w:rsidR="00655EFA" w:rsidRPr="00A42604">
        <w:rPr>
          <w:rFonts w:ascii="Gill Sans MT" w:hAnsi="Gill Sans MT"/>
          <w:noProof/>
          <w:sz w:val="24"/>
          <w:szCs w:val="24"/>
          <w:lang w:eastAsia="pt-BR"/>
        </w:rPr>
        <w:t xml:space="preserve">dependerão </w:t>
      </w:r>
      <w:r w:rsidRPr="00A42604">
        <w:rPr>
          <w:rFonts w:ascii="Gill Sans MT" w:hAnsi="Gill Sans MT"/>
          <w:noProof/>
          <w:sz w:val="24"/>
          <w:szCs w:val="24"/>
          <w:lang w:eastAsia="pt-BR"/>
        </w:rPr>
        <w:t>de uma população ativa cada vez menor</w:t>
      </w:r>
      <w:r w:rsidRPr="00A42604">
        <w:rPr>
          <w:rStyle w:val="Refdenotaderodap"/>
          <w:rFonts w:ascii="Gill Sans MT" w:hAnsi="Gill Sans MT"/>
          <w:noProof/>
          <w:sz w:val="24"/>
          <w:szCs w:val="24"/>
          <w:lang w:eastAsia="pt-BR"/>
        </w:rPr>
        <w:footnoteReference w:id="6"/>
      </w:r>
      <w:r w:rsidRPr="00A42604">
        <w:rPr>
          <w:rFonts w:ascii="Gill Sans MT" w:hAnsi="Gill Sans MT"/>
          <w:noProof/>
          <w:sz w:val="24"/>
          <w:szCs w:val="24"/>
          <w:lang w:eastAsia="pt-BR"/>
        </w:rPr>
        <w:t>.</w:t>
      </w:r>
    </w:p>
    <w:p w14:paraId="10C3E786" w14:textId="517F62A4" w:rsidR="004B16F8" w:rsidRPr="00A42604" w:rsidRDefault="004B16F8" w:rsidP="004B16F8">
      <w:pPr>
        <w:spacing w:line="360" w:lineRule="auto"/>
        <w:ind w:firstLine="1134"/>
        <w:jc w:val="both"/>
        <w:rPr>
          <w:rFonts w:ascii="Gill Sans MT" w:hAnsi="Gill Sans MT"/>
          <w:noProof/>
          <w:sz w:val="24"/>
          <w:szCs w:val="24"/>
          <w:lang w:eastAsia="pt-BR"/>
        </w:rPr>
      </w:pPr>
      <w:r w:rsidRPr="00A42604">
        <w:rPr>
          <w:rFonts w:ascii="Gill Sans MT" w:hAnsi="Gill Sans MT"/>
          <w:noProof/>
          <w:sz w:val="24"/>
          <w:szCs w:val="24"/>
          <w:lang w:eastAsia="pt-BR"/>
        </w:rPr>
        <w:t>Esses números desvelam a realidade de uma est</w:t>
      </w:r>
      <w:r w:rsidR="009A2F79" w:rsidRPr="00A42604">
        <w:rPr>
          <w:rFonts w:ascii="Gill Sans MT" w:hAnsi="Gill Sans MT"/>
          <w:noProof/>
          <w:sz w:val="24"/>
          <w:szCs w:val="24"/>
          <w:lang w:eastAsia="pt-BR"/>
        </w:rPr>
        <w:t>rutura de pessoal em que quase 8</w:t>
      </w:r>
      <w:r w:rsidRPr="00A42604">
        <w:rPr>
          <w:rFonts w:ascii="Gill Sans MT" w:hAnsi="Gill Sans MT"/>
          <w:noProof/>
          <w:sz w:val="24"/>
          <w:szCs w:val="24"/>
          <w:lang w:eastAsia="pt-BR"/>
        </w:rPr>
        <w:t>0% dos servidores se aposentam com 50 anos de idade e 25 anos de contribuição, caso do magistério e das categrias da segurança p</w:t>
      </w:r>
      <w:r w:rsidR="00DD0056" w:rsidRPr="00A42604">
        <w:rPr>
          <w:rFonts w:ascii="Gill Sans MT" w:hAnsi="Gill Sans MT"/>
          <w:noProof/>
          <w:sz w:val="24"/>
          <w:szCs w:val="24"/>
          <w:lang w:eastAsia="pt-BR"/>
        </w:rPr>
        <w:t>ú</w:t>
      </w:r>
      <w:r w:rsidRPr="00A42604">
        <w:rPr>
          <w:rFonts w:ascii="Gill Sans MT" w:hAnsi="Gill Sans MT"/>
          <w:noProof/>
          <w:sz w:val="24"/>
          <w:szCs w:val="24"/>
          <w:lang w:eastAsia="pt-BR"/>
        </w:rPr>
        <w:t>b</w:t>
      </w:r>
      <w:r w:rsidR="00DD0056" w:rsidRPr="00A42604">
        <w:rPr>
          <w:rFonts w:ascii="Gill Sans MT" w:hAnsi="Gill Sans MT"/>
          <w:noProof/>
          <w:sz w:val="24"/>
          <w:szCs w:val="24"/>
          <w:lang w:eastAsia="pt-BR"/>
        </w:rPr>
        <w:t>l</w:t>
      </w:r>
      <w:r w:rsidRPr="00A42604">
        <w:rPr>
          <w:rFonts w:ascii="Gill Sans MT" w:hAnsi="Gill Sans MT"/>
          <w:noProof/>
          <w:sz w:val="24"/>
          <w:szCs w:val="24"/>
          <w:lang w:eastAsia="pt-BR"/>
        </w:rPr>
        <w:t>ica que ma</w:t>
      </w:r>
      <w:r w:rsidR="00DF034C" w:rsidRPr="00A42604">
        <w:rPr>
          <w:rFonts w:ascii="Gill Sans MT" w:hAnsi="Gill Sans MT"/>
          <w:noProof/>
          <w:sz w:val="24"/>
          <w:szCs w:val="24"/>
          <w:lang w:eastAsia="pt-BR"/>
        </w:rPr>
        <w:t>i</w:t>
      </w:r>
      <w:r w:rsidRPr="00A42604">
        <w:rPr>
          <w:rFonts w:ascii="Gill Sans MT" w:hAnsi="Gill Sans MT"/>
          <w:noProof/>
          <w:sz w:val="24"/>
          <w:szCs w:val="24"/>
          <w:lang w:eastAsia="pt-BR"/>
        </w:rPr>
        <w:t>s recentement</w:t>
      </w:r>
      <w:r w:rsidR="00DF034C" w:rsidRPr="00A42604">
        <w:rPr>
          <w:rFonts w:ascii="Gill Sans MT" w:hAnsi="Gill Sans MT"/>
          <w:noProof/>
          <w:sz w:val="24"/>
          <w:szCs w:val="24"/>
          <w:lang w:eastAsia="pt-BR"/>
        </w:rPr>
        <w:t>e</w:t>
      </w:r>
      <w:r w:rsidRPr="00A42604">
        <w:rPr>
          <w:rFonts w:ascii="Gill Sans MT" w:hAnsi="Gill Sans MT"/>
          <w:noProof/>
          <w:sz w:val="24"/>
          <w:szCs w:val="24"/>
          <w:lang w:eastAsia="pt-BR"/>
        </w:rPr>
        <w:t xml:space="preserve"> receberam tamb</w:t>
      </w:r>
      <w:r w:rsidR="00056019" w:rsidRPr="00A42604">
        <w:rPr>
          <w:rFonts w:ascii="Gill Sans MT" w:hAnsi="Gill Sans MT"/>
          <w:noProof/>
          <w:sz w:val="24"/>
          <w:szCs w:val="24"/>
          <w:lang w:eastAsia="pt-BR"/>
        </w:rPr>
        <w:t>é</w:t>
      </w:r>
      <w:r w:rsidRPr="00A42604">
        <w:rPr>
          <w:rFonts w:ascii="Gill Sans MT" w:hAnsi="Gill Sans MT"/>
          <w:noProof/>
          <w:sz w:val="24"/>
          <w:szCs w:val="24"/>
          <w:lang w:eastAsia="pt-BR"/>
        </w:rPr>
        <w:t xml:space="preserve">m esse </w:t>
      </w:r>
      <w:r w:rsidR="00655EFA" w:rsidRPr="00A42604">
        <w:rPr>
          <w:rFonts w:ascii="Gill Sans MT" w:hAnsi="Gill Sans MT"/>
          <w:noProof/>
          <w:sz w:val="24"/>
          <w:szCs w:val="24"/>
          <w:lang w:eastAsia="pt-BR"/>
        </w:rPr>
        <w:t>benefício</w:t>
      </w:r>
      <w:r w:rsidRPr="00A42604">
        <w:rPr>
          <w:rFonts w:ascii="Gill Sans MT" w:hAnsi="Gill Sans MT"/>
          <w:noProof/>
          <w:sz w:val="24"/>
          <w:szCs w:val="24"/>
          <w:lang w:eastAsia="pt-BR"/>
        </w:rPr>
        <w:t xml:space="preserve">, que prevê que seus ocupantes poderão ter aposentadoria especial com redução de 5 anos em relação aos demais servidores públicos. </w:t>
      </w:r>
    </w:p>
    <w:p w14:paraId="4695AA2A" w14:textId="63DA44B3" w:rsidR="001C0AEC" w:rsidRPr="00A42604" w:rsidRDefault="00FD03D5" w:rsidP="00095C49">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Pode-se notar pelo gráfico</w:t>
      </w:r>
      <w:r w:rsidR="001E5401">
        <w:rPr>
          <w:rFonts w:ascii="Gill Sans MT" w:hAnsi="Gill Sans MT" w:cs="Times New Roman"/>
          <w:sz w:val="24"/>
          <w:szCs w:val="24"/>
        </w:rPr>
        <w:t xml:space="preserve"> 9</w:t>
      </w:r>
      <w:r w:rsidRPr="00A42604">
        <w:rPr>
          <w:rFonts w:ascii="Gill Sans MT" w:hAnsi="Gill Sans MT" w:cs="Times New Roman"/>
          <w:sz w:val="24"/>
          <w:szCs w:val="24"/>
        </w:rPr>
        <w:t xml:space="preserve"> que, o RS junto com os estados do Sul e Sudeste encontram-se na parte superior da distribuição, sendo que acima deles </w:t>
      </w:r>
      <w:r w:rsidR="000649C5" w:rsidRPr="00A42604">
        <w:rPr>
          <w:rFonts w:ascii="Gill Sans MT" w:hAnsi="Gill Sans MT" w:cs="Times New Roman"/>
          <w:sz w:val="24"/>
          <w:szCs w:val="24"/>
        </w:rPr>
        <w:t xml:space="preserve">estão </w:t>
      </w:r>
      <w:r w:rsidRPr="00A42604">
        <w:rPr>
          <w:rFonts w:ascii="Gill Sans MT" w:hAnsi="Gill Sans MT" w:cs="Times New Roman"/>
          <w:sz w:val="24"/>
          <w:szCs w:val="24"/>
        </w:rPr>
        <w:t>apenas o DF, com gasto de pessoal per</w:t>
      </w:r>
      <w:r w:rsidR="006734FD">
        <w:rPr>
          <w:rFonts w:ascii="Gill Sans MT" w:hAnsi="Gill Sans MT" w:cs="Times New Roman"/>
          <w:sz w:val="24"/>
          <w:szCs w:val="24"/>
        </w:rPr>
        <w:t xml:space="preserve"> </w:t>
      </w:r>
      <w:r w:rsidRPr="00A42604">
        <w:rPr>
          <w:rFonts w:ascii="Gill Sans MT" w:hAnsi="Gill Sans MT" w:cs="Times New Roman"/>
          <w:sz w:val="24"/>
          <w:szCs w:val="24"/>
        </w:rPr>
        <w:t>capita muito acima dos demais estados</w:t>
      </w:r>
      <w:r w:rsidR="00DD0056" w:rsidRPr="00A42604">
        <w:rPr>
          <w:rFonts w:ascii="Gill Sans MT" w:hAnsi="Gill Sans MT" w:cs="Times New Roman"/>
          <w:sz w:val="24"/>
          <w:szCs w:val="24"/>
        </w:rPr>
        <w:t xml:space="preserve"> (possivelmente causado pelo acúmulo das funções atribuíveis aos estados e aos municípios)</w:t>
      </w:r>
      <w:r w:rsidR="009A2F79" w:rsidRPr="00A42604">
        <w:rPr>
          <w:rFonts w:ascii="Gill Sans MT" w:hAnsi="Gill Sans MT" w:cs="Times New Roman"/>
          <w:sz w:val="24"/>
          <w:szCs w:val="24"/>
        </w:rPr>
        <w:t xml:space="preserve"> e </w:t>
      </w:r>
      <w:r w:rsidR="000649C5" w:rsidRPr="00A42604">
        <w:rPr>
          <w:rFonts w:ascii="Gill Sans MT" w:hAnsi="Gill Sans MT" w:cs="Times New Roman"/>
          <w:sz w:val="24"/>
          <w:szCs w:val="24"/>
        </w:rPr>
        <w:t xml:space="preserve">os estados que eram territórios federais e </w:t>
      </w:r>
      <w:r w:rsidR="009A2F79" w:rsidRPr="00A42604">
        <w:rPr>
          <w:rFonts w:ascii="Gill Sans MT" w:hAnsi="Gill Sans MT" w:cs="Times New Roman"/>
          <w:sz w:val="24"/>
          <w:szCs w:val="24"/>
        </w:rPr>
        <w:t xml:space="preserve">os </w:t>
      </w:r>
      <w:r w:rsidR="000649C5" w:rsidRPr="00A42604">
        <w:rPr>
          <w:rFonts w:ascii="Gill Sans MT" w:hAnsi="Gill Sans MT" w:cs="Times New Roman"/>
          <w:sz w:val="24"/>
          <w:szCs w:val="24"/>
        </w:rPr>
        <w:t>que t</w:t>
      </w:r>
      <w:r w:rsidR="00DD0056" w:rsidRPr="00A42604">
        <w:rPr>
          <w:rFonts w:ascii="Gill Sans MT" w:hAnsi="Gill Sans MT" w:cs="Times New Roman"/>
          <w:sz w:val="24"/>
          <w:szCs w:val="24"/>
        </w:rPr>
        <w:t>ê</w:t>
      </w:r>
      <w:r w:rsidR="000649C5" w:rsidRPr="00A42604">
        <w:rPr>
          <w:rFonts w:ascii="Gill Sans MT" w:hAnsi="Gill Sans MT" w:cs="Times New Roman"/>
          <w:sz w:val="24"/>
          <w:szCs w:val="24"/>
        </w:rPr>
        <w:t>m povoamento mais recente</w:t>
      </w:r>
      <w:r w:rsidR="009A2F79" w:rsidRPr="00A42604">
        <w:rPr>
          <w:rFonts w:ascii="Gill Sans MT" w:hAnsi="Gill Sans MT" w:cs="Times New Roman"/>
          <w:sz w:val="24"/>
          <w:szCs w:val="24"/>
        </w:rPr>
        <w:t>.</w:t>
      </w:r>
    </w:p>
    <w:p w14:paraId="76ADE6B8" w14:textId="77777777" w:rsidR="00EE27C6" w:rsidRPr="00A42604" w:rsidRDefault="00EE27C6" w:rsidP="00EE27C6">
      <w:pPr>
        <w:pStyle w:val="PargrafodaLista"/>
        <w:ind w:left="1080"/>
        <w:rPr>
          <w:rFonts w:ascii="Gill Sans MT" w:hAnsi="Gill Sans MT" w:cs="Times New Roman"/>
          <w:sz w:val="24"/>
          <w:szCs w:val="24"/>
        </w:rPr>
      </w:pPr>
    </w:p>
    <w:p w14:paraId="08791C67" w14:textId="77777777" w:rsidR="000F6340" w:rsidRPr="00A42604" w:rsidRDefault="00487497" w:rsidP="00BF2CA1">
      <w:pPr>
        <w:pStyle w:val="PargrafodaLista"/>
        <w:numPr>
          <w:ilvl w:val="1"/>
          <w:numId w:val="3"/>
        </w:numPr>
        <w:rPr>
          <w:rFonts w:ascii="Gill Sans MT" w:hAnsi="Gill Sans MT" w:cs="Times New Roman"/>
          <w:b/>
          <w:sz w:val="24"/>
          <w:szCs w:val="24"/>
        </w:rPr>
      </w:pPr>
      <w:r w:rsidRPr="00A42604">
        <w:rPr>
          <w:rFonts w:ascii="Gill Sans MT" w:hAnsi="Gill Sans MT" w:cs="Times New Roman"/>
          <w:b/>
          <w:sz w:val="24"/>
          <w:szCs w:val="24"/>
        </w:rPr>
        <w:t>A rigidez do gasto</w:t>
      </w:r>
    </w:p>
    <w:p w14:paraId="29436320" w14:textId="77777777" w:rsidR="00862475" w:rsidRPr="00A42604" w:rsidRDefault="00862475" w:rsidP="00862475">
      <w:pPr>
        <w:pStyle w:val="PargrafodaLista"/>
        <w:ind w:left="1080"/>
        <w:rPr>
          <w:rFonts w:ascii="Gill Sans MT" w:hAnsi="Gill Sans MT" w:cs="Times New Roman"/>
          <w:b/>
          <w:sz w:val="24"/>
          <w:szCs w:val="24"/>
        </w:rPr>
      </w:pPr>
    </w:p>
    <w:p w14:paraId="193E95F3" w14:textId="77777777" w:rsidR="00447D6D" w:rsidRPr="00A42604" w:rsidRDefault="00447D6D"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A indexação ou vinculação do gasto público com algum índice econômico como a inflação</w:t>
      </w:r>
      <w:r w:rsidR="00096C12" w:rsidRPr="00A42604">
        <w:rPr>
          <w:rFonts w:ascii="Gill Sans MT" w:hAnsi="Gill Sans MT" w:cs="Times New Roman"/>
          <w:sz w:val="24"/>
          <w:szCs w:val="24"/>
        </w:rPr>
        <w:t xml:space="preserve"> passada mais alguma variação real</w:t>
      </w:r>
      <w:r w:rsidRPr="00A42604">
        <w:rPr>
          <w:rFonts w:ascii="Gill Sans MT" w:hAnsi="Gill Sans MT" w:cs="Times New Roman"/>
          <w:sz w:val="24"/>
          <w:szCs w:val="24"/>
        </w:rPr>
        <w:t>, o crescimento do PIB, ou o crescimento da Receita Corrente Líquida, ao contrário do que parece, não tem gerado bons resultados na gestão das finanças públicas do Brasil.</w:t>
      </w:r>
    </w:p>
    <w:p w14:paraId="110B3E28" w14:textId="77777777" w:rsidR="00447D6D" w:rsidRPr="00A42604" w:rsidRDefault="00447D6D"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Inúmeras regras fixando gasto mínimo em determinado programa ou que este programa cresça de acordo com alguma regra em geral determinam a perda do mecanismo de gestão pelo administrador público, bem como acaba por gerar uma rigidez na despesa incapaz de ser contornada em situações de </w:t>
      </w:r>
      <w:r w:rsidR="003F14D7" w:rsidRPr="00A42604">
        <w:rPr>
          <w:rFonts w:ascii="Gill Sans MT" w:hAnsi="Gill Sans MT" w:cs="Times New Roman"/>
          <w:sz w:val="24"/>
          <w:szCs w:val="24"/>
        </w:rPr>
        <w:t>baixa atividade econômica e/ou alta inflação.</w:t>
      </w:r>
    </w:p>
    <w:p w14:paraId="775C44D1" w14:textId="4FCA2475" w:rsidR="003F14D7" w:rsidRPr="00A42604" w:rsidRDefault="003F14D7"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Quando </w:t>
      </w:r>
      <w:r w:rsidR="0064107E" w:rsidRPr="00A42604">
        <w:rPr>
          <w:rFonts w:ascii="Gill Sans MT" w:hAnsi="Gill Sans MT" w:cs="Times New Roman"/>
          <w:sz w:val="24"/>
          <w:szCs w:val="24"/>
        </w:rPr>
        <w:t>uma</w:t>
      </w:r>
      <w:r w:rsidRPr="00A42604">
        <w:rPr>
          <w:rFonts w:ascii="Gill Sans MT" w:hAnsi="Gill Sans MT" w:cs="Times New Roman"/>
          <w:sz w:val="24"/>
          <w:szCs w:val="24"/>
        </w:rPr>
        <w:t xml:space="preserve"> norma legal determina que se faça gastos com percentual indexado ao crescimento da RCL de um estado</w:t>
      </w:r>
      <w:r w:rsidR="00B1187A" w:rsidRPr="00A42604">
        <w:rPr>
          <w:rFonts w:ascii="Gill Sans MT" w:hAnsi="Gill Sans MT" w:cs="Times New Roman"/>
          <w:sz w:val="24"/>
          <w:szCs w:val="24"/>
        </w:rPr>
        <w:t>, por exemplo</w:t>
      </w:r>
      <w:r w:rsidRPr="00A42604">
        <w:rPr>
          <w:rFonts w:ascii="Gill Sans MT" w:hAnsi="Gill Sans MT" w:cs="Times New Roman"/>
          <w:sz w:val="24"/>
          <w:szCs w:val="24"/>
        </w:rPr>
        <w:t xml:space="preserve">, o gestor fará despesas até que atinja determinado % no ano t. Essa despesa será feita basicamente em pessoal, custeio e investimentos (que mais tarde gerarão mais gasto em custeio). Porém, ao enfrentar uma crise econômica que leve ao crescimento nulo da receita, o gestor continuará tendo aquela despesa </w:t>
      </w:r>
      <w:r w:rsidRPr="00A42604">
        <w:rPr>
          <w:rFonts w:ascii="Gill Sans MT" w:hAnsi="Gill Sans MT" w:cs="Times New Roman"/>
          <w:sz w:val="24"/>
          <w:szCs w:val="24"/>
        </w:rPr>
        <w:lastRenderedPageBreak/>
        <w:t>feita outrora para agora ser honrada, ou seja, não poderá cortá-la</w:t>
      </w:r>
      <w:r w:rsidR="0064107E" w:rsidRPr="00A42604">
        <w:rPr>
          <w:rFonts w:ascii="Gill Sans MT" w:hAnsi="Gill Sans MT" w:cs="Times New Roman"/>
          <w:sz w:val="24"/>
          <w:szCs w:val="24"/>
        </w:rPr>
        <w:t xml:space="preserve"> (chamada de despesa continuada)</w:t>
      </w:r>
      <w:r w:rsidRPr="00A42604">
        <w:rPr>
          <w:rFonts w:ascii="Gill Sans MT" w:hAnsi="Gill Sans MT" w:cs="Times New Roman"/>
          <w:sz w:val="24"/>
          <w:szCs w:val="24"/>
        </w:rPr>
        <w:t xml:space="preserve">. Assim, </w:t>
      </w:r>
      <w:r w:rsidR="00884CD9" w:rsidRPr="00A42604">
        <w:rPr>
          <w:rFonts w:ascii="Gill Sans MT" w:hAnsi="Gill Sans MT" w:cs="Times New Roman"/>
          <w:sz w:val="24"/>
          <w:szCs w:val="24"/>
        </w:rPr>
        <w:t xml:space="preserve">sem modificar as regras de vinculação dessas despesas, não há como controlar o crescimento da despesa do setor público ao longo dos anos. Essa estrutura da despesa do governo dificulta qualquer esforço de ajuste fiscal rápido e cria uma dinâmica de crescimento automático da despesa difícil de ser revertida em períodos de desaceleração </w:t>
      </w:r>
      <w:r w:rsidR="005073E4">
        <w:rPr>
          <w:rFonts w:ascii="Gill Sans MT" w:hAnsi="Gill Sans MT" w:cs="Times New Roman"/>
          <w:sz w:val="24"/>
          <w:szCs w:val="24"/>
        </w:rPr>
        <w:t>econômica</w:t>
      </w:r>
      <w:r w:rsidR="00884CD9" w:rsidRPr="00A42604">
        <w:rPr>
          <w:rFonts w:ascii="Gill Sans MT" w:hAnsi="Gill Sans MT" w:cs="Times New Roman"/>
          <w:sz w:val="24"/>
          <w:szCs w:val="24"/>
        </w:rPr>
        <w:t>.</w:t>
      </w:r>
    </w:p>
    <w:p w14:paraId="29C90049" w14:textId="77777777" w:rsidR="00DE5913" w:rsidRPr="00A42604" w:rsidRDefault="00884CD9"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E</w:t>
      </w:r>
      <w:r w:rsidR="003F14D7" w:rsidRPr="00A42604">
        <w:rPr>
          <w:rFonts w:ascii="Gill Sans MT" w:hAnsi="Gill Sans MT" w:cs="Times New Roman"/>
          <w:sz w:val="24"/>
          <w:szCs w:val="24"/>
        </w:rPr>
        <w:t xml:space="preserve">stados, Distrito Federal e municípios </w:t>
      </w:r>
      <w:r w:rsidRPr="00A42604">
        <w:rPr>
          <w:rFonts w:ascii="Gill Sans MT" w:hAnsi="Gill Sans MT" w:cs="Times New Roman"/>
          <w:sz w:val="24"/>
          <w:szCs w:val="24"/>
        </w:rPr>
        <w:t xml:space="preserve">possuem </w:t>
      </w:r>
      <w:r w:rsidR="003F14D7" w:rsidRPr="00A42604">
        <w:rPr>
          <w:rFonts w:ascii="Gill Sans MT" w:hAnsi="Gill Sans MT" w:cs="Times New Roman"/>
          <w:sz w:val="24"/>
          <w:szCs w:val="24"/>
        </w:rPr>
        <w:t>uma regra constitucional de gasto mínimo com saúde – 12% da receita líquida de transferências no caso de estados e do Distrito Federal e 15% da receita líquida de transferências no caso dos municípios. Isso significa que, qualquer que seja o aumento de arrecadação, por força da Constituição Federal, esse crescimento leva necessariamente a um aumento do gasto com saúde e, em períodos de recessão, essa despesa vinculada raramente poderá ser reduzida, mesmo que haja queda da receita.</w:t>
      </w:r>
      <w:r w:rsidRPr="00A42604">
        <w:rPr>
          <w:rFonts w:ascii="Gill Sans MT" w:hAnsi="Gill Sans MT" w:cs="Times New Roman"/>
          <w:sz w:val="24"/>
          <w:szCs w:val="24"/>
        </w:rPr>
        <w:t xml:space="preserve"> </w:t>
      </w:r>
      <w:r w:rsidR="00DE5913" w:rsidRPr="00A42604">
        <w:rPr>
          <w:rFonts w:ascii="Gill Sans MT" w:hAnsi="Gill Sans MT" w:cs="Times New Roman"/>
          <w:sz w:val="24"/>
          <w:szCs w:val="24"/>
        </w:rPr>
        <w:t>Não há como poupar os investimentos de cortes enquanto tivermos a atual rigidez da estrutura orçamentária brasileira</w:t>
      </w:r>
      <w:r w:rsidR="008B1B67" w:rsidRPr="00A42604">
        <w:rPr>
          <w:rStyle w:val="Refdenotaderodap"/>
          <w:rFonts w:ascii="Gill Sans MT" w:hAnsi="Gill Sans MT" w:cs="Times New Roman"/>
          <w:sz w:val="24"/>
          <w:szCs w:val="24"/>
        </w:rPr>
        <w:footnoteReference w:id="7"/>
      </w:r>
      <w:r w:rsidR="00DE5913" w:rsidRPr="00A42604">
        <w:rPr>
          <w:rFonts w:ascii="Gill Sans MT" w:hAnsi="Gill Sans MT" w:cs="Times New Roman"/>
          <w:sz w:val="24"/>
          <w:szCs w:val="24"/>
        </w:rPr>
        <w:t>.</w:t>
      </w:r>
    </w:p>
    <w:p w14:paraId="1F1CBBD3" w14:textId="77777777" w:rsidR="008C10CD" w:rsidRPr="00A42604" w:rsidRDefault="00884CD9"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Quais as alternativas, o que fazer para evitar o crescimento automático das despesas do setor público e, consequentemente, a dependência da economia brasileira a aumentos sucessivos de carga tributária? </w:t>
      </w:r>
      <w:r w:rsidR="008C10CD" w:rsidRPr="00A42604">
        <w:rPr>
          <w:rFonts w:ascii="Gill Sans MT" w:hAnsi="Gill Sans MT" w:cs="Times New Roman"/>
          <w:sz w:val="24"/>
          <w:szCs w:val="24"/>
        </w:rPr>
        <w:t>Para especialistas na área, h</w:t>
      </w:r>
      <w:r w:rsidRPr="00A42604">
        <w:rPr>
          <w:rFonts w:ascii="Gill Sans MT" w:hAnsi="Gill Sans MT" w:cs="Times New Roman"/>
          <w:sz w:val="24"/>
          <w:szCs w:val="24"/>
        </w:rPr>
        <w:t xml:space="preserve">á diversas opções caso a sociedade decida mudar as regras de rigidez do gasto para controlar o seu crescimento. </w:t>
      </w:r>
    </w:p>
    <w:p w14:paraId="2C5E562F" w14:textId="4820BA98" w:rsidR="00884CD9" w:rsidRPr="00A42604" w:rsidRDefault="00884CD9"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Uma opção seria que a vinculação das despesas na área de saúde e educação passasse a ser um percentual</w:t>
      </w:r>
      <w:r w:rsidR="001448B4" w:rsidRPr="00A42604">
        <w:rPr>
          <w:rFonts w:ascii="Gill Sans MT" w:hAnsi="Gill Sans MT" w:cs="Times New Roman"/>
          <w:sz w:val="24"/>
          <w:szCs w:val="24"/>
        </w:rPr>
        <w:t xml:space="preserve"> da despesa não financeira paga</w:t>
      </w:r>
      <w:r w:rsidRPr="00A42604">
        <w:rPr>
          <w:rFonts w:ascii="Gill Sans MT" w:hAnsi="Gill Sans MT" w:cs="Times New Roman"/>
          <w:sz w:val="24"/>
          <w:szCs w:val="24"/>
        </w:rPr>
        <w:t>.</w:t>
      </w:r>
      <w:r w:rsidR="008C10CD" w:rsidRPr="00A42604">
        <w:rPr>
          <w:rFonts w:ascii="Gill Sans MT" w:hAnsi="Gill Sans MT" w:cs="Times New Roman"/>
          <w:sz w:val="24"/>
          <w:szCs w:val="24"/>
        </w:rPr>
        <w:t xml:space="preserve"> </w:t>
      </w:r>
      <w:r w:rsidRPr="00A42604">
        <w:rPr>
          <w:rFonts w:ascii="Gill Sans MT" w:hAnsi="Gill Sans MT" w:cs="Times New Roman"/>
          <w:sz w:val="24"/>
          <w:szCs w:val="24"/>
        </w:rPr>
        <w:t>Nesse caso, por exemplo, o aumento da receita em anos de maior expansão do PIB não se transformaria obrigatoriamente no aumento da despesa. O governo poderia decidir poupar o aumento inesperado de receita. No entanto, se o governo (municipal, estadual ou federal) decidisse gastar o crescimento da arrecadação, as áreas de saúde e educação ainda seriam prioritárias, com a garantia de um percentual mínimo da despesa</w:t>
      </w:r>
      <w:r w:rsidR="008C10CD" w:rsidRPr="00A42604">
        <w:rPr>
          <w:rFonts w:ascii="Gill Sans MT" w:hAnsi="Gill Sans MT" w:cs="Times New Roman"/>
          <w:sz w:val="24"/>
          <w:szCs w:val="24"/>
        </w:rPr>
        <w:t xml:space="preserve"> (Almeida, 2015</w:t>
      </w:r>
      <w:r w:rsidR="0064107E" w:rsidRPr="00A42604">
        <w:rPr>
          <w:rFonts w:ascii="Gill Sans MT" w:hAnsi="Gill Sans MT" w:cs="Times New Roman"/>
          <w:sz w:val="24"/>
          <w:szCs w:val="24"/>
        </w:rPr>
        <w:t>)</w:t>
      </w:r>
      <w:r w:rsidRPr="00A42604">
        <w:rPr>
          <w:rFonts w:ascii="Gill Sans MT" w:hAnsi="Gill Sans MT" w:cs="Times New Roman"/>
          <w:sz w:val="24"/>
          <w:szCs w:val="24"/>
        </w:rPr>
        <w:t>.</w:t>
      </w:r>
    </w:p>
    <w:p w14:paraId="3A1D1C52" w14:textId="6CD741C5" w:rsidR="00974C9A" w:rsidRPr="00A42604" w:rsidRDefault="00884CD9"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lastRenderedPageBreak/>
        <w:t xml:space="preserve">Outra opção seria que a vinculação nas áreas de saúde e educação passasse a depender da receita corrente líquida em cinco anos e não dos últimos 12 meses. O </w:t>
      </w:r>
      <w:r w:rsidR="008C10CD" w:rsidRPr="00A42604">
        <w:rPr>
          <w:rFonts w:ascii="Gill Sans MT" w:hAnsi="Gill Sans MT" w:cs="Times New Roman"/>
          <w:sz w:val="24"/>
          <w:szCs w:val="24"/>
        </w:rPr>
        <w:t>benefício</w:t>
      </w:r>
      <w:r w:rsidRPr="00A42604">
        <w:rPr>
          <w:rFonts w:ascii="Gill Sans MT" w:hAnsi="Gill Sans MT" w:cs="Times New Roman"/>
          <w:sz w:val="24"/>
          <w:szCs w:val="24"/>
        </w:rPr>
        <w:t xml:space="preserve"> é que um ano anormal de forte crescimento do PIB seria diluído no </w:t>
      </w:r>
      <w:r w:rsidR="008C10CD" w:rsidRPr="00A42604">
        <w:rPr>
          <w:rFonts w:ascii="Gill Sans MT" w:hAnsi="Gill Sans MT" w:cs="Times New Roman"/>
          <w:sz w:val="24"/>
          <w:szCs w:val="24"/>
        </w:rPr>
        <w:t>cálculo</w:t>
      </w:r>
      <w:r w:rsidRPr="00A42604">
        <w:rPr>
          <w:rFonts w:ascii="Gill Sans MT" w:hAnsi="Gill Sans MT" w:cs="Times New Roman"/>
          <w:sz w:val="24"/>
          <w:szCs w:val="24"/>
        </w:rPr>
        <w:t xml:space="preserve"> da média de cinco anos e, dessa forma, não levaria a um forte crescimento da despesa no curto prazo que seria difícil de reverter com a desaceleração da economia nos anos posteriores</w:t>
      </w:r>
      <w:r w:rsidR="008C10CD" w:rsidRPr="00A42604">
        <w:rPr>
          <w:rFonts w:ascii="Gill Sans MT" w:hAnsi="Gill Sans MT" w:cs="Times New Roman"/>
          <w:sz w:val="24"/>
          <w:szCs w:val="24"/>
        </w:rPr>
        <w:t xml:space="preserve"> (Almeida, 2015)</w:t>
      </w:r>
      <w:r w:rsidRPr="00A42604">
        <w:rPr>
          <w:rFonts w:ascii="Gill Sans MT" w:hAnsi="Gill Sans MT" w:cs="Times New Roman"/>
          <w:sz w:val="24"/>
          <w:szCs w:val="24"/>
        </w:rPr>
        <w:t>.</w:t>
      </w:r>
    </w:p>
    <w:p w14:paraId="09D44810" w14:textId="2AA324D3" w:rsidR="000F6340" w:rsidRPr="00A42604" w:rsidRDefault="008C10CD"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Uma terceira opção envolveria mudanças em termos de novas regras fiscais, em que o gasto público ficaria sujeito </w:t>
      </w:r>
      <w:r w:rsidR="001455D0" w:rsidRPr="00A42604">
        <w:rPr>
          <w:rFonts w:ascii="Gill Sans MT" w:hAnsi="Gill Sans MT" w:cs="Times New Roman"/>
          <w:sz w:val="24"/>
          <w:szCs w:val="24"/>
        </w:rPr>
        <w:t xml:space="preserve">ao ciclo econômico, ou seja, </w:t>
      </w:r>
      <w:r w:rsidR="00094F37" w:rsidRPr="00A42604">
        <w:rPr>
          <w:rFonts w:ascii="Gill Sans MT" w:hAnsi="Gill Sans MT" w:cs="Times New Roman"/>
          <w:sz w:val="24"/>
          <w:szCs w:val="24"/>
        </w:rPr>
        <w:t>a criação de espaço fiscal a curto prazo deve</w:t>
      </w:r>
      <w:r w:rsidR="008F1162" w:rsidRPr="00A42604">
        <w:rPr>
          <w:rFonts w:ascii="Gill Sans MT" w:hAnsi="Gill Sans MT" w:cs="Times New Roman"/>
          <w:sz w:val="24"/>
          <w:szCs w:val="24"/>
        </w:rPr>
        <w:t>ria</w:t>
      </w:r>
      <w:r w:rsidR="00094F37" w:rsidRPr="00A42604">
        <w:rPr>
          <w:rFonts w:ascii="Gill Sans MT" w:hAnsi="Gill Sans MT" w:cs="Times New Roman"/>
          <w:sz w:val="24"/>
          <w:szCs w:val="24"/>
        </w:rPr>
        <w:t xml:space="preserve"> vir acompanhada de medidas que garantam a elevação de poupança em períodos de crescimento, com mecanismos que tornem a política fiscal anticíclica, e não pró-cíclica como hoje</w:t>
      </w:r>
      <w:r w:rsidR="00224016" w:rsidRPr="00A42604">
        <w:rPr>
          <w:rStyle w:val="Refdenotaderodap"/>
          <w:rFonts w:ascii="Gill Sans MT" w:hAnsi="Gill Sans MT" w:cs="Times New Roman"/>
          <w:sz w:val="24"/>
          <w:szCs w:val="24"/>
        </w:rPr>
        <w:footnoteReference w:id="8"/>
      </w:r>
      <w:r w:rsidR="00094F37" w:rsidRPr="00A42604">
        <w:rPr>
          <w:rFonts w:ascii="Gill Sans MT" w:hAnsi="Gill Sans MT" w:cs="Times New Roman"/>
          <w:sz w:val="24"/>
          <w:szCs w:val="24"/>
        </w:rPr>
        <w:t>.</w:t>
      </w:r>
    </w:p>
    <w:p w14:paraId="2FDD5239" w14:textId="342DF455" w:rsidR="000F6340" w:rsidRPr="00A42604" w:rsidRDefault="008F1162" w:rsidP="00151788">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De forma mais geral,</w:t>
      </w:r>
      <w:r w:rsidR="00AF7250" w:rsidRPr="00A42604">
        <w:rPr>
          <w:rFonts w:ascii="Gill Sans MT" w:hAnsi="Gill Sans MT" w:cs="Times New Roman"/>
          <w:sz w:val="24"/>
          <w:szCs w:val="24"/>
        </w:rPr>
        <w:t xml:space="preserve"> a</w:t>
      </w:r>
      <w:r w:rsidR="00F12A86" w:rsidRPr="00A42604">
        <w:rPr>
          <w:rFonts w:ascii="Gill Sans MT" w:hAnsi="Gill Sans MT" w:cs="Times New Roman"/>
          <w:sz w:val="24"/>
          <w:szCs w:val="24"/>
        </w:rPr>
        <w:t>s regras de vinculação do gasto deve</w:t>
      </w:r>
      <w:r w:rsidR="00AF7250" w:rsidRPr="00A42604">
        <w:rPr>
          <w:rFonts w:ascii="Gill Sans MT" w:hAnsi="Gill Sans MT" w:cs="Times New Roman"/>
          <w:sz w:val="24"/>
          <w:szCs w:val="24"/>
        </w:rPr>
        <w:t>riam</w:t>
      </w:r>
      <w:r w:rsidR="00F12A86" w:rsidRPr="00A42604">
        <w:rPr>
          <w:rFonts w:ascii="Gill Sans MT" w:hAnsi="Gill Sans MT" w:cs="Times New Roman"/>
          <w:sz w:val="24"/>
          <w:szCs w:val="24"/>
        </w:rPr>
        <w:t xml:space="preserve"> ser reformuladas de modo a permitir que parte das receitas auferidas em períodos de crescimento seja poupada para financiar as despesas nos momentos de retração</w:t>
      </w:r>
      <w:r w:rsidR="005073E4">
        <w:rPr>
          <w:rFonts w:ascii="Gill Sans MT" w:hAnsi="Gill Sans MT" w:cs="Times New Roman"/>
          <w:sz w:val="24"/>
          <w:szCs w:val="24"/>
        </w:rPr>
        <w:t xml:space="preserve"> econômica</w:t>
      </w:r>
      <w:r w:rsidR="00F12A86" w:rsidRPr="00A42604">
        <w:rPr>
          <w:rFonts w:ascii="Gill Sans MT" w:hAnsi="Gill Sans MT" w:cs="Times New Roman"/>
          <w:sz w:val="24"/>
          <w:szCs w:val="24"/>
        </w:rPr>
        <w:t>. As vinculações de receita poderiam ser calculadas tendo por base a receita média de vários anos, permitindo diluir as flutuações cíclicas, ou, ainda, substituídas por um critério de valor mínimo, como o gasto do ano anterior, corrigido pela inflação. A meta de resultado primário para a União deveria ser ajustada pelo ciclo econômico, enquanto, para Estados e municípios, deveria ser exigida uma amortização maior da dívida na fase de crescimento, de forma a permitir o aumento da dívida em períodos de desaceleração</w:t>
      </w:r>
      <w:r w:rsidR="00AF7250" w:rsidRPr="00A42604">
        <w:rPr>
          <w:rStyle w:val="Refdenotaderodap"/>
          <w:rFonts w:ascii="Gill Sans MT" w:hAnsi="Gill Sans MT" w:cs="Times New Roman"/>
          <w:sz w:val="24"/>
          <w:szCs w:val="24"/>
        </w:rPr>
        <w:footnoteReference w:id="9"/>
      </w:r>
      <w:r w:rsidR="001448B4" w:rsidRPr="00A42604">
        <w:rPr>
          <w:rFonts w:ascii="Gill Sans MT" w:hAnsi="Gill Sans MT" w:cs="Times New Roman"/>
          <w:sz w:val="24"/>
          <w:szCs w:val="24"/>
        </w:rPr>
        <w:t xml:space="preserve"> </w:t>
      </w:r>
      <w:r w:rsidR="001448B4" w:rsidRPr="00A42604">
        <w:rPr>
          <w:rStyle w:val="Refdenotaderodap"/>
          <w:rFonts w:ascii="Gill Sans MT" w:hAnsi="Gill Sans MT" w:cs="Times New Roman"/>
          <w:sz w:val="24"/>
          <w:szCs w:val="24"/>
        </w:rPr>
        <w:footnoteReference w:id="10"/>
      </w:r>
      <w:r w:rsidR="00F12A86" w:rsidRPr="00A42604">
        <w:rPr>
          <w:rFonts w:ascii="Gill Sans MT" w:hAnsi="Gill Sans MT" w:cs="Times New Roman"/>
          <w:sz w:val="24"/>
          <w:szCs w:val="24"/>
        </w:rPr>
        <w:t>.</w:t>
      </w:r>
    </w:p>
    <w:p w14:paraId="58A82853" w14:textId="77777777" w:rsidR="00151788" w:rsidRPr="00A42604" w:rsidRDefault="00151788" w:rsidP="00151788">
      <w:pPr>
        <w:spacing w:line="240" w:lineRule="auto"/>
        <w:ind w:firstLine="1134"/>
        <w:jc w:val="both"/>
        <w:rPr>
          <w:rFonts w:ascii="Gill Sans MT" w:hAnsi="Gill Sans MT" w:cs="Times New Roman"/>
          <w:sz w:val="24"/>
          <w:szCs w:val="24"/>
        </w:rPr>
      </w:pPr>
    </w:p>
    <w:p w14:paraId="461FED44" w14:textId="77777777" w:rsidR="00BF2CA1" w:rsidRPr="00A42604" w:rsidRDefault="000F6340" w:rsidP="00F12A86">
      <w:pPr>
        <w:pStyle w:val="PargrafodaLista"/>
        <w:numPr>
          <w:ilvl w:val="0"/>
          <w:numId w:val="3"/>
        </w:numPr>
        <w:ind w:left="0" w:firstLine="0"/>
        <w:rPr>
          <w:rFonts w:ascii="Gill Sans MT" w:hAnsi="Gill Sans MT" w:cs="Times New Roman"/>
          <w:b/>
          <w:sz w:val="24"/>
          <w:szCs w:val="24"/>
        </w:rPr>
      </w:pPr>
      <w:r w:rsidRPr="00A42604">
        <w:rPr>
          <w:rFonts w:ascii="Gill Sans MT" w:hAnsi="Gill Sans MT" w:cs="Times New Roman"/>
          <w:b/>
          <w:sz w:val="24"/>
          <w:szCs w:val="24"/>
        </w:rPr>
        <w:t>Indicador da Capacidade de Investimento</w:t>
      </w:r>
    </w:p>
    <w:p w14:paraId="51DE1FDF" w14:textId="77777777" w:rsidR="00F12A86" w:rsidRPr="00A42604" w:rsidRDefault="00F12A86" w:rsidP="00F12A86">
      <w:pPr>
        <w:pStyle w:val="PargrafodaLista"/>
        <w:ind w:left="0"/>
        <w:rPr>
          <w:rFonts w:ascii="Gill Sans MT" w:hAnsi="Gill Sans MT" w:cs="Times New Roman"/>
          <w:b/>
          <w:sz w:val="24"/>
          <w:szCs w:val="24"/>
        </w:rPr>
      </w:pPr>
    </w:p>
    <w:p w14:paraId="51798381" w14:textId="5CB3AA2B" w:rsidR="00467992" w:rsidRPr="00A42604" w:rsidRDefault="00467992" w:rsidP="00467992">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Em momentos como o atualmente vivenciado pelo Rio Grande do Sul, com receitas públicas caindo e despesas públicas em nível crescente, é de suma importância um ente subnacional (que não possui capacidade de emissão de moeda ou</w:t>
      </w:r>
      <w:r w:rsidR="00847C2F" w:rsidRPr="00A42604">
        <w:rPr>
          <w:rFonts w:ascii="Gill Sans MT" w:hAnsi="Gill Sans MT" w:cs="Times New Roman"/>
          <w:sz w:val="24"/>
          <w:szCs w:val="24"/>
        </w:rPr>
        <w:t>, no momento,</w:t>
      </w:r>
      <w:r w:rsidRPr="00A42604">
        <w:rPr>
          <w:rFonts w:ascii="Gill Sans MT" w:hAnsi="Gill Sans MT" w:cs="Times New Roman"/>
          <w:sz w:val="24"/>
          <w:szCs w:val="24"/>
        </w:rPr>
        <w:t xml:space="preserve"> títulos) </w:t>
      </w:r>
      <w:r w:rsidRPr="00A42604">
        <w:rPr>
          <w:rFonts w:ascii="Gill Sans MT" w:hAnsi="Gill Sans MT" w:cs="Times New Roman"/>
          <w:sz w:val="24"/>
          <w:szCs w:val="24"/>
        </w:rPr>
        <w:lastRenderedPageBreak/>
        <w:t xml:space="preserve">estimar um indicador fiscal que consiga captar, de alguma forma, a “margem de manobra” que os governos têm para honrar suas obrigações financeiras, dada a rigidez do gasto público. </w:t>
      </w:r>
    </w:p>
    <w:p w14:paraId="293E2B62" w14:textId="40B5BE93" w:rsidR="000F6340" w:rsidRPr="00A42604" w:rsidRDefault="000F6340"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Define-se a capacidade de investir com recursos próprios (ou poupança corrente) como a diferença das receitas correntes com as despesas correntes</w:t>
      </w:r>
      <w:r w:rsidR="00DE5913" w:rsidRPr="00A42604">
        <w:rPr>
          <w:rStyle w:val="Refdenotaderodap"/>
          <w:rFonts w:ascii="Gill Sans MT" w:hAnsi="Gill Sans MT" w:cs="Times New Roman"/>
          <w:sz w:val="24"/>
          <w:szCs w:val="24"/>
        </w:rPr>
        <w:footnoteReference w:id="11"/>
      </w:r>
      <w:r w:rsidRPr="00A42604">
        <w:rPr>
          <w:rFonts w:ascii="Gill Sans MT" w:hAnsi="Gill Sans MT" w:cs="Times New Roman"/>
          <w:sz w:val="24"/>
          <w:szCs w:val="24"/>
        </w:rPr>
        <w:t xml:space="preserve">. Em uma linguagem mais simplificada, o montante de recursos que sobram para investir fruto da diferença entre as receitas </w:t>
      </w:r>
      <w:r w:rsidR="00D00AF2" w:rsidRPr="00A42604">
        <w:rPr>
          <w:rFonts w:ascii="Gill Sans MT" w:hAnsi="Gill Sans MT" w:cs="Times New Roman"/>
          <w:sz w:val="24"/>
          <w:szCs w:val="24"/>
        </w:rPr>
        <w:t>correntes</w:t>
      </w:r>
      <w:r w:rsidRPr="00A42604">
        <w:rPr>
          <w:rFonts w:ascii="Gill Sans MT" w:hAnsi="Gill Sans MT" w:cs="Times New Roman"/>
          <w:sz w:val="24"/>
          <w:szCs w:val="24"/>
        </w:rPr>
        <w:t xml:space="preserve"> com os pagamentos das obrigações de pessoal, juros e custeio. Ou seja, não estão computados na capacidade de investir os recursos originários do endividamento público.</w:t>
      </w:r>
    </w:p>
    <w:p w14:paraId="51130719" w14:textId="77777777" w:rsidR="00CE244F" w:rsidRPr="00A42604" w:rsidRDefault="000456B4"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A ideia básica desse indicador é complementar a informação trazida pelo resultado primário, adicionando na avaliação um critério qualitativo do perfi</w:t>
      </w:r>
      <w:r w:rsidR="00CE244F" w:rsidRPr="00A42604">
        <w:rPr>
          <w:rFonts w:ascii="Gill Sans MT" w:hAnsi="Gill Sans MT" w:cs="Times New Roman"/>
          <w:sz w:val="24"/>
          <w:szCs w:val="24"/>
        </w:rPr>
        <w:t>l da receita e do gasto público, já que p</w:t>
      </w:r>
      <w:r w:rsidRPr="00A42604">
        <w:rPr>
          <w:rFonts w:ascii="Gill Sans MT" w:hAnsi="Gill Sans MT" w:cs="Times New Roman"/>
          <w:sz w:val="24"/>
          <w:szCs w:val="24"/>
        </w:rPr>
        <w:t xml:space="preserve">ara melhorar o resultado primário, por exemplo, tanto faz o governo cortar despesas de pessoal ou de investimentos. O impacto fiscal será o mesmo, porém, o impacto econômico é completamente diferente. </w:t>
      </w:r>
    </w:p>
    <w:p w14:paraId="62042245" w14:textId="11C64BD1" w:rsidR="00883CEB" w:rsidRPr="00A42604" w:rsidRDefault="00DF0CA2"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Assim, esse </w:t>
      </w:r>
      <w:r w:rsidR="00883CEB" w:rsidRPr="00A42604">
        <w:rPr>
          <w:rFonts w:ascii="Gill Sans MT" w:hAnsi="Gill Sans MT" w:cs="Times New Roman"/>
          <w:sz w:val="24"/>
          <w:szCs w:val="24"/>
        </w:rPr>
        <w:t xml:space="preserve">indicador mede o que sobra da arrecadação própria (sem depender do endividamento), após o pagamento das obrigações correntes e para realizar despesas de investimentos e inversões financeiras primárias (aquisição de ativos). Trata-se de uma aproximação do grau de discricionariedade (“margem de manobra”) que o governo dispõe para honrar seus compromissos e realizar despesas de acordo com suas prioridades, captando assim as restrições financeiras do ente, já que ao contrário do governo federal, que tem capacidade mais frouxa de elevar seu endividamento, os estados e municípios precisam de autorização da união para se endividar e, dessa forma, qualquer eventual necessidade de caixa inviabiliza a execução da despesa (Maciel, 2015). </w:t>
      </w:r>
    </w:p>
    <w:p w14:paraId="53A3A940" w14:textId="7DAF42C2" w:rsidR="00845F30" w:rsidRPr="00A42604" w:rsidRDefault="00847C2F"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Efetuando a parametrização dos dados para o RS, pode-se notar que o indicador proposto responde adequadamente </w:t>
      </w:r>
      <w:r w:rsidR="00845F30" w:rsidRPr="00A42604">
        <w:rPr>
          <w:rFonts w:ascii="Gill Sans MT" w:hAnsi="Gill Sans MT" w:cs="Times New Roman"/>
          <w:sz w:val="24"/>
          <w:szCs w:val="24"/>
        </w:rPr>
        <w:t>à</w:t>
      </w:r>
      <w:r w:rsidRPr="00A42604">
        <w:rPr>
          <w:rFonts w:ascii="Gill Sans MT" w:hAnsi="Gill Sans MT" w:cs="Times New Roman"/>
          <w:sz w:val="24"/>
          <w:szCs w:val="24"/>
        </w:rPr>
        <w:t xml:space="preserve">s questões levantadas, </w:t>
      </w:r>
      <w:r w:rsidR="000A3F10">
        <w:rPr>
          <w:rFonts w:ascii="Gill Sans MT" w:hAnsi="Gill Sans MT" w:cs="Times New Roman"/>
          <w:sz w:val="24"/>
          <w:szCs w:val="24"/>
        </w:rPr>
        <w:t xml:space="preserve">com os dados empíricos mostrando aderência teórica, </w:t>
      </w:r>
      <w:r w:rsidRPr="00A42604">
        <w:rPr>
          <w:rFonts w:ascii="Gill Sans MT" w:hAnsi="Gill Sans MT" w:cs="Times New Roman"/>
          <w:sz w:val="24"/>
          <w:szCs w:val="24"/>
        </w:rPr>
        <w:t xml:space="preserve">ou seja, </w:t>
      </w:r>
      <w:r w:rsidR="000A3F10">
        <w:rPr>
          <w:rFonts w:ascii="Gill Sans MT" w:hAnsi="Gill Sans MT" w:cs="Times New Roman"/>
          <w:sz w:val="24"/>
          <w:szCs w:val="24"/>
        </w:rPr>
        <w:t xml:space="preserve">o indicador </w:t>
      </w:r>
      <w:r w:rsidRPr="00A42604">
        <w:rPr>
          <w:rFonts w:ascii="Gill Sans MT" w:hAnsi="Gill Sans MT" w:cs="Times New Roman"/>
          <w:sz w:val="24"/>
          <w:szCs w:val="24"/>
        </w:rPr>
        <w:t xml:space="preserve">mostra que nos períodos recentes em que o Tesouro teve dificuldades de caixa, e passou por momentos em que teve que </w:t>
      </w:r>
      <w:r w:rsidR="00845F30" w:rsidRPr="00A42604">
        <w:rPr>
          <w:rFonts w:ascii="Gill Sans MT" w:hAnsi="Gill Sans MT" w:cs="Times New Roman"/>
          <w:sz w:val="24"/>
          <w:szCs w:val="24"/>
        </w:rPr>
        <w:t xml:space="preserve">se utilizar de fontes de financiamento não convencionais, como atraso de pagamentos, e depósitos judiciais, o indicador mostra uma queda significativa. </w:t>
      </w:r>
    </w:p>
    <w:p w14:paraId="48A0E393" w14:textId="35032A82" w:rsidR="00847C2F" w:rsidRPr="00A42604" w:rsidRDefault="00845F30"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lastRenderedPageBreak/>
        <w:t>Assim, a expansão das despesas correntes sem a devida cobertura em suas receitas correntes</w:t>
      </w:r>
      <w:r w:rsidR="002E5656" w:rsidRPr="00A42604">
        <w:rPr>
          <w:rFonts w:ascii="Gill Sans MT" w:hAnsi="Gill Sans MT" w:cs="Times New Roman"/>
          <w:sz w:val="24"/>
          <w:szCs w:val="24"/>
        </w:rPr>
        <w:t xml:space="preserve"> – ou a utilização de receita de capital e eventuais para custear despesa corrente -</w:t>
      </w:r>
      <w:r w:rsidRPr="00A42604">
        <w:rPr>
          <w:rFonts w:ascii="Gill Sans MT" w:hAnsi="Gill Sans MT" w:cs="Times New Roman"/>
          <w:sz w:val="24"/>
          <w:szCs w:val="24"/>
        </w:rPr>
        <w:t xml:space="preserve"> acaba por </w:t>
      </w:r>
      <w:r w:rsidR="00A907E0" w:rsidRPr="00A42604">
        <w:rPr>
          <w:rFonts w:ascii="Gill Sans MT" w:hAnsi="Gill Sans MT" w:cs="Times New Roman"/>
          <w:sz w:val="24"/>
          <w:szCs w:val="24"/>
        </w:rPr>
        <w:t>explicar</w:t>
      </w:r>
      <w:r w:rsidRPr="00A42604">
        <w:rPr>
          <w:rFonts w:ascii="Gill Sans MT" w:hAnsi="Gill Sans MT" w:cs="Times New Roman"/>
          <w:sz w:val="24"/>
          <w:szCs w:val="24"/>
        </w:rPr>
        <w:t xml:space="preserve"> esse comportamento </w:t>
      </w:r>
      <w:r w:rsidR="00A907E0" w:rsidRPr="00A42604">
        <w:rPr>
          <w:rFonts w:ascii="Gill Sans MT" w:hAnsi="Gill Sans MT" w:cs="Times New Roman"/>
          <w:sz w:val="24"/>
          <w:szCs w:val="24"/>
        </w:rPr>
        <w:t>de</w:t>
      </w:r>
      <w:r w:rsidRPr="00A42604">
        <w:rPr>
          <w:rFonts w:ascii="Gill Sans MT" w:hAnsi="Gill Sans MT" w:cs="Times New Roman"/>
          <w:sz w:val="24"/>
          <w:szCs w:val="24"/>
        </w:rPr>
        <w:t xml:space="preserve"> queda na capacidade de investir</w:t>
      </w:r>
      <w:r w:rsidR="000A3F10">
        <w:rPr>
          <w:rFonts w:ascii="Gill Sans MT" w:hAnsi="Gill Sans MT" w:cs="Times New Roman"/>
          <w:sz w:val="24"/>
          <w:szCs w:val="24"/>
        </w:rPr>
        <w:t xml:space="preserve"> e </w:t>
      </w:r>
      <w:r w:rsidR="006415BE" w:rsidRPr="00A42604">
        <w:rPr>
          <w:rFonts w:ascii="Gill Sans MT" w:hAnsi="Gill Sans MT" w:cs="Times New Roman"/>
          <w:sz w:val="24"/>
          <w:szCs w:val="24"/>
        </w:rPr>
        <w:t>consequentemente o</w:t>
      </w:r>
      <w:r w:rsidR="00247FA1" w:rsidRPr="00A42604">
        <w:rPr>
          <w:rFonts w:ascii="Gill Sans MT" w:hAnsi="Gill Sans MT" w:cs="Times New Roman"/>
          <w:sz w:val="24"/>
          <w:szCs w:val="24"/>
        </w:rPr>
        <w:t xml:space="preserve"> caos financeiro</w:t>
      </w:r>
      <w:r w:rsidR="006415BE" w:rsidRPr="00A42604">
        <w:rPr>
          <w:rFonts w:ascii="Gill Sans MT" w:hAnsi="Gill Sans MT" w:cs="Times New Roman"/>
          <w:sz w:val="24"/>
          <w:szCs w:val="24"/>
        </w:rPr>
        <w:t xml:space="preserve"> pelo qual passamos atualmente.</w:t>
      </w:r>
    </w:p>
    <w:p w14:paraId="0993E85C" w14:textId="77777777" w:rsidR="00247FA1" w:rsidRPr="00A42604" w:rsidRDefault="00247FA1" w:rsidP="00247FA1">
      <w:pPr>
        <w:pStyle w:val="PargrafodaLista"/>
        <w:spacing w:line="360" w:lineRule="auto"/>
        <w:ind w:left="0"/>
        <w:jc w:val="center"/>
        <w:rPr>
          <w:rFonts w:ascii="Gill Sans MT" w:hAnsi="Gill Sans MT" w:cs="Times New Roman"/>
          <w:b/>
          <w:sz w:val="24"/>
          <w:szCs w:val="24"/>
        </w:rPr>
      </w:pPr>
    </w:p>
    <w:p w14:paraId="5F476ABF" w14:textId="210BD33B" w:rsidR="00D00AF2" w:rsidRPr="00A42604" w:rsidRDefault="00D00AF2" w:rsidP="00247FA1">
      <w:pPr>
        <w:pStyle w:val="PargrafodaLista"/>
        <w:spacing w:line="360" w:lineRule="auto"/>
        <w:ind w:left="0"/>
        <w:jc w:val="center"/>
        <w:rPr>
          <w:rFonts w:ascii="Gill Sans MT" w:hAnsi="Gill Sans MT" w:cs="Times New Roman"/>
          <w:b/>
          <w:sz w:val="24"/>
          <w:szCs w:val="24"/>
        </w:rPr>
      </w:pPr>
      <w:r w:rsidRPr="00A42604">
        <w:rPr>
          <w:rFonts w:ascii="Gill Sans MT" w:hAnsi="Gill Sans MT" w:cs="Times New Roman"/>
          <w:b/>
          <w:sz w:val="24"/>
          <w:szCs w:val="24"/>
        </w:rPr>
        <w:t xml:space="preserve">Gráfico </w:t>
      </w:r>
      <w:r w:rsidR="001E5401">
        <w:rPr>
          <w:rFonts w:ascii="Gill Sans MT" w:hAnsi="Gill Sans MT" w:cs="Times New Roman"/>
          <w:b/>
          <w:sz w:val="24"/>
          <w:szCs w:val="24"/>
        </w:rPr>
        <w:t>10</w:t>
      </w:r>
      <w:r w:rsidR="008A5E37" w:rsidRPr="00A42604">
        <w:rPr>
          <w:rFonts w:ascii="Gill Sans MT" w:hAnsi="Gill Sans MT" w:cs="Times New Roman"/>
          <w:b/>
          <w:sz w:val="24"/>
          <w:szCs w:val="24"/>
        </w:rPr>
        <w:t xml:space="preserve"> - </w:t>
      </w:r>
      <w:r w:rsidRPr="00A42604">
        <w:rPr>
          <w:rFonts w:ascii="Gill Sans MT" w:hAnsi="Gill Sans MT" w:cs="Times New Roman"/>
          <w:b/>
          <w:sz w:val="24"/>
          <w:szCs w:val="24"/>
        </w:rPr>
        <w:t xml:space="preserve"> Capac</w:t>
      </w:r>
      <w:r w:rsidR="00247FA1" w:rsidRPr="00A42604">
        <w:rPr>
          <w:rFonts w:ascii="Gill Sans MT" w:hAnsi="Gill Sans MT" w:cs="Times New Roman"/>
          <w:b/>
          <w:sz w:val="24"/>
          <w:szCs w:val="24"/>
        </w:rPr>
        <w:t>idade de Investir com recursos p</w:t>
      </w:r>
      <w:r w:rsidRPr="00A42604">
        <w:rPr>
          <w:rFonts w:ascii="Gill Sans MT" w:hAnsi="Gill Sans MT" w:cs="Times New Roman"/>
          <w:b/>
          <w:sz w:val="24"/>
          <w:szCs w:val="24"/>
        </w:rPr>
        <w:t>róprio</w:t>
      </w:r>
      <w:r w:rsidR="00006A3F">
        <w:rPr>
          <w:rFonts w:ascii="Gill Sans MT" w:hAnsi="Gill Sans MT" w:cs="Times New Roman"/>
          <w:b/>
          <w:sz w:val="24"/>
          <w:szCs w:val="24"/>
        </w:rPr>
        <w:t>s</w:t>
      </w:r>
      <w:r w:rsidRPr="00A42604">
        <w:rPr>
          <w:rFonts w:ascii="Gill Sans MT" w:hAnsi="Gill Sans MT" w:cs="Times New Roman"/>
          <w:b/>
          <w:sz w:val="24"/>
          <w:szCs w:val="24"/>
        </w:rPr>
        <w:t>, em % do PIB</w:t>
      </w:r>
      <w:r w:rsidR="001952A9" w:rsidRPr="00A42604">
        <w:rPr>
          <w:rStyle w:val="Refdenotaderodap"/>
          <w:rFonts w:ascii="Gill Sans MT" w:hAnsi="Gill Sans MT" w:cs="Times New Roman"/>
          <w:b/>
          <w:sz w:val="24"/>
          <w:szCs w:val="24"/>
        </w:rPr>
        <w:footnoteReference w:id="12"/>
      </w:r>
    </w:p>
    <w:p w14:paraId="22159DCC" w14:textId="77777777" w:rsidR="002D16C9" w:rsidRPr="00A42604" w:rsidRDefault="00D00AF2" w:rsidP="002D16C9">
      <w:pPr>
        <w:pStyle w:val="PargrafodaLista"/>
        <w:spacing w:line="240" w:lineRule="auto"/>
        <w:ind w:left="0"/>
        <w:rPr>
          <w:rFonts w:ascii="Gill Sans MT" w:hAnsi="Gill Sans MT" w:cs="Times New Roman"/>
          <w:sz w:val="16"/>
          <w:szCs w:val="16"/>
        </w:rPr>
      </w:pPr>
      <w:r w:rsidRPr="00A42604">
        <w:rPr>
          <w:noProof/>
          <w:lang w:eastAsia="pt-BR"/>
        </w:rPr>
        <w:drawing>
          <wp:inline distT="0" distB="0" distL="0" distR="0" wp14:anchorId="43E394A7" wp14:editId="3AFBD746">
            <wp:extent cx="5750169" cy="2492375"/>
            <wp:effectExtent l="0" t="0" r="3175" b="317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30C68C" w14:textId="325352EF" w:rsidR="000F6340" w:rsidRPr="00A42604" w:rsidRDefault="00432056" w:rsidP="002D16C9">
      <w:pPr>
        <w:pStyle w:val="PargrafodaLista"/>
        <w:spacing w:line="240" w:lineRule="auto"/>
        <w:ind w:left="0"/>
        <w:rPr>
          <w:rFonts w:ascii="Gill Sans MT" w:hAnsi="Gill Sans MT" w:cs="Times New Roman"/>
          <w:sz w:val="16"/>
          <w:szCs w:val="16"/>
        </w:rPr>
      </w:pPr>
      <w:r w:rsidRPr="00A42604">
        <w:rPr>
          <w:rFonts w:ascii="Gill Sans MT" w:hAnsi="Gill Sans MT" w:cs="Times New Roman"/>
          <w:sz w:val="16"/>
          <w:szCs w:val="16"/>
        </w:rPr>
        <w:t>Fonte: elaboração do autor com dados da SEFAZ-RS.</w:t>
      </w:r>
    </w:p>
    <w:p w14:paraId="413DC6E5" w14:textId="77777777" w:rsidR="00432056" w:rsidRPr="00A42604" w:rsidRDefault="00432056" w:rsidP="00DC7D44">
      <w:pPr>
        <w:spacing w:line="240" w:lineRule="auto"/>
        <w:jc w:val="both"/>
        <w:rPr>
          <w:rFonts w:ascii="Gill Sans MT" w:hAnsi="Gill Sans MT" w:cs="Times New Roman"/>
          <w:sz w:val="16"/>
          <w:szCs w:val="16"/>
        </w:rPr>
      </w:pPr>
    </w:p>
    <w:p w14:paraId="7A041774" w14:textId="2883B881" w:rsidR="000F6340" w:rsidRPr="00BC7BA1" w:rsidRDefault="00D00AF2" w:rsidP="0086247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 xml:space="preserve">No gráfico </w:t>
      </w:r>
      <w:r w:rsidR="001E5401">
        <w:rPr>
          <w:rFonts w:ascii="Gill Sans MT" w:hAnsi="Gill Sans MT" w:cs="Times New Roman"/>
          <w:sz w:val="24"/>
          <w:szCs w:val="24"/>
        </w:rPr>
        <w:t>10</w:t>
      </w:r>
      <w:r w:rsidR="000F6340" w:rsidRPr="00A42604">
        <w:rPr>
          <w:rFonts w:ascii="Gill Sans MT" w:hAnsi="Gill Sans MT" w:cs="Times New Roman"/>
          <w:sz w:val="24"/>
          <w:szCs w:val="24"/>
        </w:rPr>
        <w:t xml:space="preserve"> é possível observar que, até 2008, a capacidade de investir com recursos próprios subiu consideravelmente, em </w:t>
      </w:r>
      <w:r w:rsidRPr="00A42604">
        <w:rPr>
          <w:rFonts w:ascii="Gill Sans MT" w:hAnsi="Gill Sans MT" w:cs="Times New Roman"/>
          <w:sz w:val="24"/>
          <w:szCs w:val="24"/>
        </w:rPr>
        <w:t>1,3</w:t>
      </w:r>
      <w:r w:rsidR="000F6340" w:rsidRPr="00A42604">
        <w:rPr>
          <w:rFonts w:ascii="Gill Sans MT" w:hAnsi="Gill Sans MT" w:cs="Times New Roman"/>
          <w:sz w:val="24"/>
          <w:szCs w:val="24"/>
        </w:rPr>
        <w:t xml:space="preserve"> </w:t>
      </w:r>
      <w:proofErr w:type="spellStart"/>
      <w:r w:rsidR="000F6340" w:rsidRPr="00A42604">
        <w:rPr>
          <w:rFonts w:ascii="Gill Sans MT" w:hAnsi="Gill Sans MT" w:cs="Times New Roman"/>
          <w:sz w:val="24"/>
          <w:szCs w:val="24"/>
        </w:rPr>
        <w:t>p.p</w:t>
      </w:r>
      <w:proofErr w:type="spellEnd"/>
      <w:r w:rsidR="000F6340" w:rsidRPr="00A42604">
        <w:rPr>
          <w:rFonts w:ascii="Gill Sans MT" w:hAnsi="Gill Sans MT" w:cs="Times New Roman"/>
          <w:sz w:val="24"/>
          <w:szCs w:val="24"/>
        </w:rPr>
        <w:t>. do PIB desde 200</w:t>
      </w:r>
      <w:r w:rsidRPr="00A42604">
        <w:rPr>
          <w:rFonts w:ascii="Gill Sans MT" w:hAnsi="Gill Sans MT" w:cs="Times New Roman"/>
          <w:sz w:val="24"/>
          <w:szCs w:val="24"/>
        </w:rPr>
        <w:t>4</w:t>
      </w:r>
      <w:r w:rsidR="000F6340" w:rsidRPr="00A42604">
        <w:rPr>
          <w:rFonts w:ascii="Gill Sans MT" w:hAnsi="Gill Sans MT" w:cs="Times New Roman"/>
          <w:sz w:val="24"/>
          <w:szCs w:val="24"/>
        </w:rPr>
        <w:t xml:space="preserve">. Porém, </w:t>
      </w:r>
      <w:r w:rsidRPr="00A42604">
        <w:rPr>
          <w:rFonts w:ascii="Gill Sans MT" w:hAnsi="Gill Sans MT" w:cs="Times New Roman"/>
          <w:sz w:val="24"/>
          <w:szCs w:val="24"/>
        </w:rPr>
        <w:t xml:space="preserve">a partir de 2010 e mais fortemente 2011, </w:t>
      </w:r>
      <w:r w:rsidR="000F6340" w:rsidRPr="00A42604">
        <w:rPr>
          <w:rFonts w:ascii="Gill Sans MT" w:hAnsi="Gill Sans MT" w:cs="Times New Roman"/>
          <w:sz w:val="24"/>
          <w:szCs w:val="24"/>
        </w:rPr>
        <w:t xml:space="preserve">esse indicador caiu para </w:t>
      </w:r>
      <w:r w:rsidRPr="00A42604">
        <w:rPr>
          <w:rFonts w:ascii="Gill Sans MT" w:hAnsi="Gill Sans MT" w:cs="Times New Roman"/>
          <w:sz w:val="24"/>
          <w:szCs w:val="24"/>
        </w:rPr>
        <w:t xml:space="preserve">índices abaixo do histórico, </w:t>
      </w:r>
      <w:r w:rsidRPr="00BC7BA1">
        <w:rPr>
          <w:rFonts w:ascii="Gill Sans MT" w:hAnsi="Gill Sans MT" w:cs="Times New Roman"/>
          <w:sz w:val="24"/>
          <w:szCs w:val="24"/>
        </w:rPr>
        <w:t xml:space="preserve">chegando em </w:t>
      </w:r>
      <w:r w:rsidR="000F6340" w:rsidRPr="00BC7BA1">
        <w:rPr>
          <w:rFonts w:ascii="Gill Sans MT" w:hAnsi="Gill Sans MT" w:cs="Times New Roman"/>
          <w:sz w:val="24"/>
          <w:szCs w:val="24"/>
        </w:rPr>
        <w:t>201</w:t>
      </w:r>
      <w:r w:rsidRPr="00BC7BA1">
        <w:rPr>
          <w:rFonts w:ascii="Gill Sans MT" w:hAnsi="Gill Sans MT" w:cs="Times New Roman"/>
          <w:sz w:val="24"/>
          <w:szCs w:val="24"/>
        </w:rPr>
        <w:t>5</w:t>
      </w:r>
      <w:r w:rsidR="000F6340" w:rsidRPr="00BC7BA1">
        <w:rPr>
          <w:rFonts w:ascii="Gill Sans MT" w:hAnsi="Gill Sans MT" w:cs="Times New Roman"/>
          <w:sz w:val="24"/>
          <w:szCs w:val="24"/>
        </w:rPr>
        <w:t>, a</w:t>
      </w:r>
      <w:r w:rsidR="0077109E" w:rsidRPr="00BC7BA1">
        <w:rPr>
          <w:rFonts w:ascii="Gill Sans MT" w:hAnsi="Gill Sans MT" w:cs="Times New Roman"/>
          <w:sz w:val="24"/>
          <w:szCs w:val="24"/>
        </w:rPr>
        <w:t xml:space="preserve"> atingir </w:t>
      </w:r>
      <w:r w:rsidR="000F6340" w:rsidRPr="00BC7BA1">
        <w:rPr>
          <w:rFonts w:ascii="Gill Sans MT" w:hAnsi="Gill Sans MT" w:cs="Times New Roman"/>
          <w:sz w:val="24"/>
          <w:szCs w:val="24"/>
        </w:rPr>
        <w:t xml:space="preserve">o menor nível em 10 anos, </w:t>
      </w:r>
      <w:r w:rsidR="0077109E" w:rsidRPr="00BC7BA1">
        <w:rPr>
          <w:rFonts w:ascii="Gill Sans MT" w:hAnsi="Gill Sans MT" w:cs="Times New Roman"/>
          <w:sz w:val="24"/>
          <w:szCs w:val="24"/>
        </w:rPr>
        <w:t>2</w:t>
      </w:r>
      <w:r w:rsidR="0008090E" w:rsidRPr="00BC7BA1">
        <w:rPr>
          <w:rFonts w:ascii="Gill Sans MT" w:hAnsi="Gill Sans MT" w:cs="Times New Roman"/>
          <w:sz w:val="24"/>
          <w:szCs w:val="24"/>
        </w:rPr>
        <w:t xml:space="preserve">,0 </w:t>
      </w:r>
      <w:proofErr w:type="spellStart"/>
      <w:r w:rsidR="0008090E" w:rsidRPr="00BC7BA1">
        <w:rPr>
          <w:rFonts w:ascii="Gill Sans MT" w:hAnsi="Gill Sans MT" w:cs="Times New Roman"/>
          <w:sz w:val="24"/>
          <w:szCs w:val="24"/>
        </w:rPr>
        <w:t>p.p</w:t>
      </w:r>
      <w:proofErr w:type="spellEnd"/>
      <w:r w:rsidR="0008090E" w:rsidRPr="00BC7BA1">
        <w:rPr>
          <w:rFonts w:ascii="Gill Sans MT" w:hAnsi="Gill Sans MT" w:cs="Times New Roman"/>
          <w:sz w:val="24"/>
          <w:szCs w:val="24"/>
        </w:rPr>
        <w:t>.</w:t>
      </w:r>
      <w:r w:rsidR="0077109E" w:rsidRPr="00BC7BA1">
        <w:rPr>
          <w:rFonts w:ascii="Gill Sans MT" w:hAnsi="Gill Sans MT" w:cs="Times New Roman"/>
          <w:sz w:val="24"/>
          <w:szCs w:val="24"/>
        </w:rPr>
        <w:t xml:space="preserve"> do PIB. </w:t>
      </w:r>
    </w:p>
    <w:p w14:paraId="0E48CBAA" w14:textId="77777777" w:rsidR="00BC7BA1" w:rsidRPr="00A42604" w:rsidRDefault="00BC7BA1" w:rsidP="00BC7BA1">
      <w:pPr>
        <w:spacing w:line="360" w:lineRule="auto"/>
        <w:ind w:firstLine="1134"/>
        <w:jc w:val="both"/>
        <w:rPr>
          <w:rFonts w:ascii="Gill Sans MT" w:hAnsi="Gill Sans MT" w:cs="Times New Roman"/>
          <w:sz w:val="24"/>
          <w:szCs w:val="24"/>
        </w:rPr>
      </w:pPr>
      <w:r w:rsidRPr="00BC7BA1">
        <w:rPr>
          <w:rFonts w:ascii="Gill Sans MT" w:hAnsi="Gill Sans MT" w:cs="Times New Roman"/>
          <w:sz w:val="24"/>
          <w:szCs w:val="24"/>
        </w:rPr>
        <w:t>Assim, nota-se a necessidade de uma discussão mais aprofundada sobre o tema, para vislumbrarmos a necessidade de aprimoramentos de tal metodologia, e principalmente, estabelecer o uso constante desse indicador como forma de controle e alerta, quiçá o estabelecimento de “metas de margem”, ou mesmo, um valor percentual mínimo em que se definisse qual a margem de manobra dentro da qual o governo de ocasião possa manejar seus gastos, de forma a garantir o fluxo financeiro mínimo que cubra as despesas sem causar problemas de caixa.</w:t>
      </w:r>
    </w:p>
    <w:p w14:paraId="0A04BC4C" w14:textId="77777777" w:rsidR="00BF2CA1" w:rsidRPr="00A42604" w:rsidRDefault="00BF2CA1" w:rsidP="00862475">
      <w:pPr>
        <w:pStyle w:val="PargrafodaLista"/>
        <w:spacing w:line="360" w:lineRule="auto"/>
        <w:rPr>
          <w:rFonts w:ascii="Gill Sans MT" w:hAnsi="Gill Sans MT" w:cs="Times New Roman"/>
          <w:sz w:val="24"/>
          <w:szCs w:val="24"/>
        </w:rPr>
      </w:pPr>
    </w:p>
    <w:p w14:paraId="2D62A70B" w14:textId="77777777" w:rsidR="00261CA5" w:rsidRPr="00A42604" w:rsidRDefault="00261CA5" w:rsidP="00862475">
      <w:pPr>
        <w:pStyle w:val="PargrafodaLista"/>
        <w:spacing w:line="360" w:lineRule="auto"/>
        <w:rPr>
          <w:rFonts w:ascii="Gill Sans MT" w:hAnsi="Gill Sans MT" w:cs="Times New Roman"/>
          <w:sz w:val="24"/>
          <w:szCs w:val="24"/>
        </w:rPr>
      </w:pPr>
    </w:p>
    <w:p w14:paraId="72B86C86" w14:textId="77777777" w:rsidR="00BF2CA1" w:rsidRPr="00A42604" w:rsidRDefault="00BF2CA1" w:rsidP="00862475">
      <w:pPr>
        <w:pStyle w:val="PargrafodaLista"/>
        <w:numPr>
          <w:ilvl w:val="0"/>
          <w:numId w:val="3"/>
        </w:numPr>
        <w:spacing w:line="360" w:lineRule="auto"/>
        <w:ind w:left="0" w:firstLine="0"/>
        <w:rPr>
          <w:rFonts w:ascii="Gill Sans MT" w:hAnsi="Gill Sans MT" w:cs="Times New Roman"/>
          <w:b/>
          <w:sz w:val="24"/>
          <w:szCs w:val="24"/>
        </w:rPr>
      </w:pPr>
      <w:r w:rsidRPr="00A42604">
        <w:rPr>
          <w:rFonts w:ascii="Gill Sans MT" w:hAnsi="Gill Sans MT" w:cs="Times New Roman"/>
          <w:b/>
          <w:sz w:val="24"/>
          <w:szCs w:val="24"/>
        </w:rPr>
        <w:lastRenderedPageBreak/>
        <w:t>Con</w:t>
      </w:r>
      <w:r w:rsidR="00DC7D44" w:rsidRPr="00A42604">
        <w:rPr>
          <w:rFonts w:ascii="Gill Sans MT" w:hAnsi="Gill Sans MT" w:cs="Times New Roman"/>
          <w:b/>
          <w:sz w:val="24"/>
          <w:szCs w:val="24"/>
        </w:rPr>
        <w:t>siderações finais</w:t>
      </w:r>
    </w:p>
    <w:p w14:paraId="67E765DF" w14:textId="77777777" w:rsidR="00184C69" w:rsidRPr="00A42604" w:rsidRDefault="00184C69" w:rsidP="00184C69">
      <w:pPr>
        <w:pStyle w:val="PargrafodaLista"/>
        <w:spacing w:line="360" w:lineRule="auto"/>
        <w:ind w:left="0"/>
        <w:rPr>
          <w:rFonts w:ascii="Gill Sans MT" w:hAnsi="Gill Sans MT" w:cs="Times New Roman"/>
          <w:b/>
          <w:sz w:val="24"/>
          <w:szCs w:val="24"/>
        </w:rPr>
      </w:pPr>
    </w:p>
    <w:p w14:paraId="7CC0B66C" w14:textId="5D5362FD" w:rsidR="00261CA5" w:rsidRPr="00A42604" w:rsidRDefault="00184C69" w:rsidP="00261CA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De forma geral, o exposto indica que a arrecadação contribuiu negativamente para a recente situação fiscal do estado. Contudo, a crise financeira não pode ser justificada apenas pela queda da arrecadação, mas também pela incapacidade/impossibilidade em reduzir-se d</w:t>
      </w:r>
      <w:r w:rsidR="00E8354A" w:rsidRPr="00A42604">
        <w:rPr>
          <w:rFonts w:ascii="Gill Sans MT" w:hAnsi="Gill Sans MT" w:cs="Times New Roman"/>
          <w:sz w:val="24"/>
          <w:szCs w:val="24"/>
        </w:rPr>
        <w:t>espesas de forma significativa.</w:t>
      </w:r>
    </w:p>
    <w:p w14:paraId="1FCC0CEE" w14:textId="37960380" w:rsidR="00184C69" w:rsidRPr="00A42604" w:rsidRDefault="00E8354A" w:rsidP="00261CA5">
      <w:pPr>
        <w:spacing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A</w:t>
      </w:r>
      <w:r w:rsidR="0010481A">
        <w:rPr>
          <w:rFonts w:ascii="Gill Sans MT" w:hAnsi="Gill Sans MT" w:cs="Times New Roman"/>
          <w:sz w:val="24"/>
          <w:szCs w:val="24"/>
        </w:rPr>
        <w:t>s</w:t>
      </w:r>
      <w:r w:rsidR="00184C69" w:rsidRPr="00A42604">
        <w:rPr>
          <w:rFonts w:ascii="Gill Sans MT" w:hAnsi="Gill Sans MT" w:cs="Times New Roman"/>
          <w:sz w:val="24"/>
          <w:szCs w:val="24"/>
        </w:rPr>
        <w:t xml:space="preserve"> regras </w:t>
      </w:r>
      <w:r w:rsidR="0010481A">
        <w:rPr>
          <w:rFonts w:ascii="Gill Sans MT" w:hAnsi="Gill Sans MT" w:cs="Times New Roman"/>
          <w:sz w:val="24"/>
          <w:szCs w:val="24"/>
        </w:rPr>
        <w:t xml:space="preserve">atuais </w:t>
      </w:r>
      <w:r w:rsidR="00184C69" w:rsidRPr="00A42604">
        <w:rPr>
          <w:rFonts w:ascii="Gill Sans MT" w:hAnsi="Gill Sans MT" w:cs="Times New Roman"/>
          <w:sz w:val="24"/>
          <w:szCs w:val="24"/>
        </w:rPr>
        <w:t>do serviço público inviabiliza</w:t>
      </w:r>
      <w:r w:rsidR="0010481A">
        <w:rPr>
          <w:rFonts w:ascii="Gill Sans MT" w:hAnsi="Gill Sans MT" w:cs="Times New Roman"/>
          <w:sz w:val="24"/>
          <w:szCs w:val="24"/>
        </w:rPr>
        <w:t>m</w:t>
      </w:r>
      <w:r w:rsidR="00184C69" w:rsidRPr="00A42604">
        <w:rPr>
          <w:rFonts w:ascii="Gill Sans MT" w:hAnsi="Gill Sans MT" w:cs="Times New Roman"/>
          <w:sz w:val="24"/>
          <w:szCs w:val="24"/>
        </w:rPr>
        <w:t xml:space="preserve"> qualquer tentativa de redução </w:t>
      </w:r>
      <w:r w:rsidR="0010481A">
        <w:rPr>
          <w:rFonts w:ascii="Gill Sans MT" w:hAnsi="Gill Sans MT" w:cs="Times New Roman"/>
          <w:sz w:val="24"/>
          <w:szCs w:val="24"/>
        </w:rPr>
        <w:t>significativa de gastos. A</w:t>
      </w:r>
      <w:r w:rsidR="00184C69" w:rsidRPr="00A42604">
        <w:rPr>
          <w:rFonts w:ascii="Gill Sans MT" w:hAnsi="Gill Sans MT" w:cs="Times New Roman"/>
          <w:sz w:val="24"/>
          <w:szCs w:val="24"/>
        </w:rPr>
        <w:t xml:space="preserve"> rigidez do gasto, com vinculações que </w:t>
      </w:r>
      <w:r w:rsidR="0010481A" w:rsidRPr="00A42604">
        <w:rPr>
          <w:rFonts w:ascii="Gill Sans MT" w:hAnsi="Gill Sans MT" w:cs="Times New Roman"/>
          <w:sz w:val="24"/>
          <w:szCs w:val="24"/>
        </w:rPr>
        <w:t>às</w:t>
      </w:r>
      <w:r w:rsidR="00184C69" w:rsidRPr="00A42604">
        <w:rPr>
          <w:rFonts w:ascii="Gill Sans MT" w:hAnsi="Gill Sans MT" w:cs="Times New Roman"/>
          <w:sz w:val="24"/>
          <w:szCs w:val="24"/>
        </w:rPr>
        <w:t xml:space="preserve"> vezes excedem a e</w:t>
      </w:r>
      <w:r w:rsidR="0010481A">
        <w:rPr>
          <w:rFonts w:ascii="Gill Sans MT" w:hAnsi="Gill Sans MT" w:cs="Times New Roman"/>
          <w:sz w:val="24"/>
          <w:szCs w:val="24"/>
        </w:rPr>
        <w:t xml:space="preserve">xistência da própria receita, </w:t>
      </w:r>
      <w:r w:rsidR="00184C69" w:rsidRPr="00A42604">
        <w:rPr>
          <w:rFonts w:ascii="Gill Sans MT" w:hAnsi="Gill Sans MT" w:cs="Times New Roman"/>
          <w:sz w:val="24"/>
          <w:szCs w:val="24"/>
        </w:rPr>
        <w:t xml:space="preserve">regras imutáveis, insculpidas quase sempre na Constituição Federal, </w:t>
      </w:r>
      <w:r w:rsidR="0010481A">
        <w:rPr>
          <w:rFonts w:ascii="Gill Sans MT" w:hAnsi="Gill Sans MT" w:cs="Times New Roman"/>
          <w:sz w:val="24"/>
          <w:szCs w:val="24"/>
        </w:rPr>
        <w:t xml:space="preserve">e a pressão das corporações de servidores </w:t>
      </w:r>
      <w:r w:rsidR="00184C69" w:rsidRPr="00A42604">
        <w:rPr>
          <w:rFonts w:ascii="Gill Sans MT" w:hAnsi="Gill Sans MT" w:cs="Times New Roman"/>
          <w:sz w:val="24"/>
          <w:szCs w:val="24"/>
        </w:rPr>
        <w:t xml:space="preserve">são </w:t>
      </w:r>
      <w:r w:rsidR="0010481A">
        <w:rPr>
          <w:rFonts w:ascii="Gill Sans MT" w:hAnsi="Gill Sans MT" w:cs="Times New Roman"/>
          <w:sz w:val="24"/>
          <w:szCs w:val="24"/>
        </w:rPr>
        <w:t xml:space="preserve">principais fatores condicionantes para essa dificuldade. </w:t>
      </w:r>
    </w:p>
    <w:p w14:paraId="333BFFAB" w14:textId="32BDFE53" w:rsidR="00184C69" w:rsidRPr="00A42604" w:rsidRDefault="00261CA5" w:rsidP="00A87C8F">
      <w:pPr>
        <w:spacing w:line="360" w:lineRule="auto"/>
        <w:ind w:firstLine="1134"/>
        <w:jc w:val="both"/>
        <w:rPr>
          <w:rFonts w:ascii="Gill Sans MT" w:hAnsi="Gill Sans MT" w:cs="Times New Roman"/>
          <w:b/>
          <w:sz w:val="24"/>
          <w:szCs w:val="24"/>
        </w:rPr>
      </w:pPr>
      <w:r w:rsidRPr="00A42604">
        <w:rPr>
          <w:rFonts w:ascii="Gill Sans MT" w:hAnsi="Gill Sans MT" w:cs="Times New Roman"/>
          <w:sz w:val="24"/>
          <w:szCs w:val="24"/>
        </w:rPr>
        <w:t>As demandas sociais, praticamente infinitas, que se refletem inclusive em legislações criadas pela União, como a criação do Piso do Magistério e a regulamentação dos 12% para a saúde</w:t>
      </w:r>
      <w:r w:rsidR="004C0C0C" w:rsidRPr="00A42604">
        <w:rPr>
          <w:rFonts w:ascii="Gill Sans MT" w:hAnsi="Gill Sans MT" w:cs="Times New Roman"/>
          <w:sz w:val="24"/>
          <w:szCs w:val="24"/>
        </w:rPr>
        <w:t xml:space="preserve">, estão logicamente sujeitas também à restrição orçamentaria intertemporal do governo. Se o contrato social assinado na CF/88 propôs implicitamente expansão continuada do gasto, estaremos </w:t>
      </w:r>
      <w:r w:rsidR="00C91C1A" w:rsidRPr="00A42604">
        <w:rPr>
          <w:rFonts w:ascii="Gill Sans MT" w:hAnsi="Gill Sans MT" w:cs="Times New Roman"/>
          <w:sz w:val="24"/>
          <w:szCs w:val="24"/>
        </w:rPr>
        <w:t xml:space="preserve">como nação </w:t>
      </w:r>
      <w:r w:rsidR="004C0C0C" w:rsidRPr="00A42604">
        <w:rPr>
          <w:rFonts w:ascii="Gill Sans MT" w:hAnsi="Gill Sans MT" w:cs="Times New Roman"/>
          <w:sz w:val="24"/>
          <w:szCs w:val="24"/>
        </w:rPr>
        <w:t>sujeitos ao empobrecimento crescente e baixo crescimento da produtividade.</w:t>
      </w:r>
    </w:p>
    <w:p w14:paraId="0C1CC6A9" w14:textId="693696AA" w:rsidR="00974C9A" w:rsidRPr="00A42604" w:rsidRDefault="000A3F10" w:rsidP="00862475">
      <w:pPr>
        <w:autoSpaceDE w:val="0"/>
        <w:autoSpaceDN w:val="0"/>
        <w:adjustRightInd w:val="0"/>
        <w:spacing w:after="0" w:line="360" w:lineRule="auto"/>
        <w:ind w:firstLine="1134"/>
        <w:jc w:val="both"/>
        <w:rPr>
          <w:rFonts w:ascii="Gill Sans MT" w:hAnsi="Gill Sans MT" w:cs="Times New Roman"/>
          <w:sz w:val="24"/>
          <w:szCs w:val="24"/>
        </w:rPr>
      </w:pPr>
      <w:r>
        <w:rPr>
          <w:rFonts w:ascii="Gill Sans MT" w:hAnsi="Gill Sans MT" w:cs="Times New Roman"/>
          <w:sz w:val="24"/>
          <w:szCs w:val="24"/>
        </w:rPr>
        <w:t>Dado</w:t>
      </w:r>
      <w:r w:rsidR="006D78F3" w:rsidRPr="00A42604">
        <w:rPr>
          <w:rFonts w:ascii="Gill Sans MT" w:hAnsi="Gill Sans MT" w:cs="Times New Roman"/>
          <w:sz w:val="24"/>
          <w:szCs w:val="24"/>
        </w:rPr>
        <w:t xml:space="preserve"> o desempenho recente das receitas públicas, fica claro que o ajuste só poderá ser feito tomando medidas que afetem tanto o lado da receita como o lado da despesa. Não será possível chegarmos ao equilíbrio fiscal somente com medidas paliativas, ou mesmo com os chamados “choques de gestão”.</w:t>
      </w:r>
      <w:r w:rsidR="00596B41" w:rsidRPr="00A42604">
        <w:rPr>
          <w:rFonts w:ascii="Gill Sans MT" w:hAnsi="Gill Sans MT" w:cs="Times New Roman"/>
          <w:sz w:val="24"/>
          <w:szCs w:val="24"/>
        </w:rPr>
        <w:t xml:space="preserve"> </w:t>
      </w:r>
      <w:r w:rsidR="00974C9A" w:rsidRPr="00A42604">
        <w:rPr>
          <w:rFonts w:ascii="Gill Sans MT" w:hAnsi="Gill Sans MT" w:cs="Times New Roman"/>
          <w:sz w:val="24"/>
          <w:szCs w:val="24"/>
        </w:rPr>
        <w:t>A tese é tentadora, porque o ajuste fiscal passa a ser resultado da escolha de gestores competentes sem a necessidade de mudanças de regras ou vinculações da despesa.</w:t>
      </w:r>
    </w:p>
    <w:p w14:paraId="46FE08BA" w14:textId="507AE580" w:rsidR="00884CD9" w:rsidRPr="00A42604" w:rsidRDefault="00A56460" w:rsidP="00A56460">
      <w:pPr>
        <w:autoSpaceDE w:val="0"/>
        <w:autoSpaceDN w:val="0"/>
        <w:adjustRightInd w:val="0"/>
        <w:spacing w:after="0" w:line="360" w:lineRule="auto"/>
        <w:ind w:firstLine="1134"/>
        <w:jc w:val="both"/>
        <w:rPr>
          <w:rFonts w:ascii="Gill Sans MT" w:hAnsi="Gill Sans MT" w:cs="Times New Roman"/>
          <w:sz w:val="24"/>
          <w:szCs w:val="24"/>
        </w:rPr>
      </w:pPr>
      <w:r w:rsidRPr="00A42604">
        <w:rPr>
          <w:rFonts w:ascii="Gill Sans MT" w:hAnsi="Gill Sans MT" w:cs="Times New Roman"/>
          <w:sz w:val="24"/>
          <w:szCs w:val="24"/>
        </w:rPr>
        <w:t>Porém, essa realidade não parece ter guarida no mundo real.</w:t>
      </w:r>
      <w:r w:rsidR="00884CD9" w:rsidRPr="00A42604">
        <w:rPr>
          <w:rFonts w:ascii="Gill Sans MT" w:hAnsi="Gill Sans MT" w:cs="Times New Roman"/>
          <w:sz w:val="24"/>
          <w:szCs w:val="24"/>
        </w:rPr>
        <w:t xml:space="preserve"> Controlar o crescimento da despesa pública significa modificar as regras que determinam a dinâmica da despesa</w:t>
      </w:r>
      <w:r w:rsidR="00C91C1A" w:rsidRPr="00A42604">
        <w:rPr>
          <w:rFonts w:ascii="Gill Sans MT" w:hAnsi="Gill Sans MT" w:cs="Times New Roman"/>
          <w:sz w:val="24"/>
          <w:szCs w:val="24"/>
        </w:rPr>
        <w:t>, reformular o contrato social, determinar a avaliação da efetividade do gasto e de programas governamentais, entre outros</w:t>
      </w:r>
      <w:r w:rsidR="00884CD9" w:rsidRPr="00A42604">
        <w:rPr>
          <w:rFonts w:ascii="Gill Sans MT" w:hAnsi="Gill Sans MT" w:cs="Times New Roman"/>
          <w:sz w:val="24"/>
          <w:szCs w:val="24"/>
        </w:rPr>
        <w:t>. Não há alternativa que não seja uma profunda reforma nas vinculações e regras de crescimento do gasto público para que um maior crescimento da economia não se transforme, automaticamente, no crescimento mais rápido da despesa.</w:t>
      </w:r>
    </w:p>
    <w:p w14:paraId="130DE28B" w14:textId="77777777" w:rsidR="00957E22" w:rsidRPr="00A42604" w:rsidRDefault="00957E22" w:rsidP="00B020C2">
      <w:pPr>
        <w:autoSpaceDE w:val="0"/>
        <w:autoSpaceDN w:val="0"/>
        <w:adjustRightInd w:val="0"/>
        <w:spacing w:after="0" w:line="240" w:lineRule="auto"/>
        <w:jc w:val="both"/>
        <w:rPr>
          <w:rFonts w:ascii="Gill Sans MT" w:hAnsi="Gill Sans MT" w:cs="Times New Roman"/>
          <w:sz w:val="24"/>
          <w:szCs w:val="24"/>
        </w:rPr>
      </w:pPr>
    </w:p>
    <w:p w14:paraId="1DA8C8FE" w14:textId="77777777" w:rsidR="002D16C9" w:rsidRPr="00A42604" w:rsidRDefault="002D16C9">
      <w:pPr>
        <w:rPr>
          <w:rFonts w:ascii="Gill Sans MT" w:hAnsi="Gill Sans MT" w:cs="Times New Roman"/>
          <w:b/>
          <w:sz w:val="24"/>
          <w:szCs w:val="24"/>
        </w:rPr>
      </w:pPr>
      <w:r w:rsidRPr="00A42604">
        <w:rPr>
          <w:rFonts w:ascii="Gill Sans MT" w:hAnsi="Gill Sans MT" w:cs="Times New Roman"/>
          <w:b/>
          <w:sz w:val="24"/>
          <w:szCs w:val="24"/>
        </w:rPr>
        <w:br w:type="page"/>
      </w:r>
    </w:p>
    <w:p w14:paraId="16B8ADAA" w14:textId="439A9DE9" w:rsidR="007461EA" w:rsidRPr="00A42604" w:rsidRDefault="00655EFA" w:rsidP="008409F3">
      <w:pPr>
        <w:pStyle w:val="PargrafodaLista"/>
        <w:ind w:left="0"/>
        <w:rPr>
          <w:rFonts w:ascii="Gill Sans MT" w:hAnsi="Gill Sans MT" w:cs="Times New Roman"/>
          <w:b/>
          <w:sz w:val="24"/>
          <w:szCs w:val="24"/>
        </w:rPr>
      </w:pPr>
      <w:r w:rsidRPr="00A42604">
        <w:rPr>
          <w:rFonts w:ascii="Gill Sans MT" w:hAnsi="Gill Sans MT" w:cs="Times New Roman"/>
          <w:b/>
          <w:sz w:val="24"/>
          <w:szCs w:val="24"/>
        </w:rPr>
        <w:lastRenderedPageBreak/>
        <w:t>Referências</w:t>
      </w:r>
    </w:p>
    <w:p w14:paraId="4546BFFE" w14:textId="77777777" w:rsidR="00574E37" w:rsidRPr="00A42604" w:rsidRDefault="00574E37" w:rsidP="008409F3">
      <w:pPr>
        <w:pStyle w:val="PargrafodaLista"/>
        <w:ind w:left="0"/>
        <w:rPr>
          <w:rFonts w:ascii="Gill Sans MT" w:hAnsi="Gill Sans MT" w:cs="Times New Roman"/>
          <w:sz w:val="24"/>
          <w:szCs w:val="24"/>
        </w:rPr>
      </w:pPr>
    </w:p>
    <w:p w14:paraId="04381B43" w14:textId="77777777" w:rsidR="00574E37" w:rsidRPr="00A42604" w:rsidRDefault="00574E37" w:rsidP="00574E37">
      <w:pPr>
        <w:autoSpaceDE w:val="0"/>
        <w:autoSpaceDN w:val="0"/>
        <w:adjustRightInd w:val="0"/>
        <w:spacing w:after="0" w:line="240" w:lineRule="auto"/>
        <w:jc w:val="both"/>
        <w:rPr>
          <w:rFonts w:ascii="Gill Sans MT" w:hAnsi="Gill Sans MT" w:cs="Times New Roman"/>
          <w:sz w:val="20"/>
          <w:szCs w:val="20"/>
          <w:lang w:val="en-US"/>
        </w:rPr>
      </w:pPr>
      <w:r w:rsidRPr="00261207">
        <w:rPr>
          <w:rFonts w:ascii="Gill Sans MT" w:hAnsi="Gill Sans MT" w:cs="Times New Roman"/>
          <w:sz w:val="20"/>
          <w:szCs w:val="20"/>
          <w:lang w:val="en-US"/>
        </w:rPr>
        <w:t xml:space="preserve">ALESINA, A.; R. PEROTTI. </w:t>
      </w:r>
      <w:r w:rsidRPr="00A42604">
        <w:rPr>
          <w:rFonts w:ascii="Gill Sans MT" w:hAnsi="Gill Sans MT" w:cs="Times New Roman"/>
          <w:sz w:val="20"/>
          <w:szCs w:val="20"/>
          <w:lang w:val="en-US"/>
        </w:rPr>
        <w:t>Fiscal Adjustments in OECD Countries: Composition and Macroeconomics Effects. Staff Papers, International Monetary Fund, V. 44 (</w:t>
      </w:r>
      <w:proofErr w:type="spellStart"/>
      <w:proofErr w:type="gramStart"/>
      <w:r w:rsidRPr="00A42604">
        <w:rPr>
          <w:rFonts w:ascii="Gill Sans MT" w:hAnsi="Gill Sans MT" w:cs="Times New Roman"/>
          <w:sz w:val="20"/>
          <w:szCs w:val="20"/>
          <w:lang w:val="en-US"/>
        </w:rPr>
        <w:t>june</w:t>
      </w:r>
      <w:proofErr w:type="spellEnd"/>
      <w:proofErr w:type="gramEnd"/>
      <w:r w:rsidRPr="00A42604">
        <w:rPr>
          <w:rFonts w:ascii="Gill Sans MT" w:hAnsi="Gill Sans MT" w:cs="Times New Roman"/>
          <w:sz w:val="20"/>
          <w:szCs w:val="20"/>
          <w:lang w:val="en-US"/>
        </w:rPr>
        <w:t>), pp. 210-48. 1997.</w:t>
      </w:r>
    </w:p>
    <w:p w14:paraId="777A8159" w14:textId="77777777" w:rsidR="00574E37" w:rsidRPr="00A42604" w:rsidRDefault="00574E37" w:rsidP="00574E37">
      <w:pPr>
        <w:autoSpaceDE w:val="0"/>
        <w:autoSpaceDN w:val="0"/>
        <w:adjustRightInd w:val="0"/>
        <w:spacing w:after="0" w:line="240" w:lineRule="auto"/>
        <w:jc w:val="both"/>
        <w:rPr>
          <w:rFonts w:ascii="Gill Sans MT" w:hAnsi="Gill Sans MT" w:cs="Times New Roman"/>
          <w:sz w:val="20"/>
          <w:szCs w:val="20"/>
          <w:lang w:val="en-US"/>
        </w:rPr>
      </w:pPr>
      <w:r w:rsidRPr="00A42604">
        <w:rPr>
          <w:rFonts w:ascii="Gill Sans MT" w:hAnsi="Gill Sans MT" w:cs="Times New Roman"/>
          <w:sz w:val="20"/>
          <w:szCs w:val="20"/>
          <w:lang w:val="en-US"/>
        </w:rPr>
        <w:t xml:space="preserve"> </w:t>
      </w:r>
    </w:p>
    <w:p w14:paraId="31C13363" w14:textId="77777777" w:rsidR="00574E37" w:rsidRPr="00A42604" w:rsidRDefault="00574E37" w:rsidP="00574E37">
      <w:pPr>
        <w:autoSpaceDE w:val="0"/>
        <w:autoSpaceDN w:val="0"/>
        <w:adjustRightInd w:val="0"/>
        <w:spacing w:after="0" w:line="240" w:lineRule="auto"/>
        <w:jc w:val="both"/>
        <w:rPr>
          <w:rFonts w:ascii="Gill Sans MT" w:hAnsi="Gill Sans MT" w:cs="Times New Roman"/>
          <w:sz w:val="20"/>
          <w:szCs w:val="20"/>
          <w:lang w:val="en-US"/>
        </w:rPr>
      </w:pPr>
      <w:r w:rsidRPr="00A42604">
        <w:rPr>
          <w:rFonts w:ascii="Gill Sans MT" w:hAnsi="Gill Sans MT" w:cs="Times New Roman"/>
          <w:sz w:val="20"/>
          <w:szCs w:val="20"/>
          <w:lang w:val="en-US"/>
        </w:rPr>
        <w:t xml:space="preserve">________________________, Budget Deficits and Budget Institutions. Fiscal Institutions and Fiscal Performance. Chicago: The University of Chicago Press, 1999. </w:t>
      </w:r>
    </w:p>
    <w:p w14:paraId="22B49154" w14:textId="77777777" w:rsidR="00574E37" w:rsidRPr="006E7B92" w:rsidRDefault="00574E37" w:rsidP="008409F3">
      <w:pPr>
        <w:autoSpaceDE w:val="0"/>
        <w:autoSpaceDN w:val="0"/>
        <w:adjustRightInd w:val="0"/>
        <w:spacing w:after="0" w:line="240" w:lineRule="auto"/>
        <w:jc w:val="both"/>
        <w:rPr>
          <w:rFonts w:ascii="Gill Sans MT" w:hAnsi="Gill Sans MT" w:cs="Times New Roman"/>
          <w:sz w:val="20"/>
          <w:szCs w:val="20"/>
          <w:lang w:val="en-US"/>
        </w:rPr>
      </w:pPr>
    </w:p>
    <w:p w14:paraId="5DEA90EA" w14:textId="19030300" w:rsidR="00574E37" w:rsidRPr="00A42604" w:rsidRDefault="00574E37" w:rsidP="008409F3">
      <w:pPr>
        <w:autoSpaceDE w:val="0"/>
        <w:autoSpaceDN w:val="0"/>
        <w:adjustRightInd w:val="0"/>
        <w:spacing w:after="0" w:line="240" w:lineRule="auto"/>
        <w:jc w:val="both"/>
        <w:rPr>
          <w:rFonts w:ascii="Gill Sans MT" w:hAnsi="Gill Sans MT" w:cs="Times New Roman"/>
          <w:sz w:val="20"/>
          <w:szCs w:val="20"/>
        </w:rPr>
      </w:pPr>
      <w:r w:rsidRPr="00A42604">
        <w:rPr>
          <w:rFonts w:ascii="Gill Sans MT" w:hAnsi="Gill Sans MT" w:cs="Times New Roman"/>
          <w:sz w:val="20"/>
          <w:szCs w:val="20"/>
        </w:rPr>
        <w:t xml:space="preserve">ALMEIDA, 2015. </w:t>
      </w:r>
      <w:hyperlink r:id="rId20" w:history="1">
        <w:r w:rsidRPr="00A42604">
          <w:rPr>
            <w:rStyle w:val="Hyperlink"/>
            <w:rFonts w:ascii="Gill Sans MT" w:hAnsi="Gill Sans MT" w:cs="Times New Roman"/>
            <w:color w:val="auto"/>
            <w:sz w:val="20"/>
            <w:szCs w:val="20"/>
          </w:rPr>
          <w:t>http://interessenacional.com/index.php/edicoes-revista/a-rigidez-do-gasto-publico-problemase-solucoes/</w:t>
        </w:r>
      </w:hyperlink>
    </w:p>
    <w:p w14:paraId="65101552" w14:textId="77777777" w:rsidR="007461EA" w:rsidRPr="00A42604" w:rsidRDefault="007461EA" w:rsidP="008409F3">
      <w:pPr>
        <w:autoSpaceDE w:val="0"/>
        <w:autoSpaceDN w:val="0"/>
        <w:adjustRightInd w:val="0"/>
        <w:spacing w:after="0" w:line="240" w:lineRule="auto"/>
        <w:jc w:val="both"/>
        <w:rPr>
          <w:rFonts w:ascii="Gill Sans MT" w:hAnsi="Gill Sans MT" w:cs="Times New Roman"/>
          <w:sz w:val="20"/>
          <w:szCs w:val="20"/>
        </w:rPr>
      </w:pPr>
    </w:p>
    <w:p w14:paraId="545AAC25"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lang w:val="en-US"/>
        </w:rPr>
      </w:pPr>
      <w:r w:rsidRPr="00A42604">
        <w:rPr>
          <w:rFonts w:ascii="Gill Sans MT" w:hAnsi="Gill Sans MT" w:cs="Times New Roman"/>
          <w:sz w:val="20"/>
          <w:szCs w:val="20"/>
          <w:lang w:val="en-US"/>
        </w:rPr>
        <w:t xml:space="preserve">BANCHARD, O. Suggestions for a New Set of Fiscal Indicators. OCDE Working Paper. Nº. 79, 1990. </w:t>
      </w:r>
    </w:p>
    <w:p w14:paraId="358ADD89"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lang w:val="en-US"/>
        </w:rPr>
      </w:pPr>
    </w:p>
    <w:p w14:paraId="1DC8008E" w14:textId="77777777" w:rsidR="00A42604" w:rsidRPr="006E7B92" w:rsidRDefault="00A42604" w:rsidP="00A42604">
      <w:pPr>
        <w:autoSpaceDE w:val="0"/>
        <w:autoSpaceDN w:val="0"/>
        <w:adjustRightInd w:val="0"/>
        <w:spacing w:after="0" w:line="240" w:lineRule="auto"/>
        <w:jc w:val="both"/>
        <w:rPr>
          <w:rFonts w:ascii="Gill Sans MT" w:hAnsi="Gill Sans MT" w:cs="Times New Roman"/>
          <w:sz w:val="20"/>
          <w:szCs w:val="20"/>
          <w:lang w:val="en-US"/>
        </w:rPr>
      </w:pPr>
      <w:r w:rsidRPr="005073E4">
        <w:rPr>
          <w:rFonts w:ascii="Gill Sans MT" w:hAnsi="Gill Sans MT" w:cs="Times New Roman"/>
          <w:sz w:val="20"/>
          <w:szCs w:val="20"/>
        </w:rPr>
        <w:t xml:space="preserve">BLANCHARD, Olivier. </w:t>
      </w:r>
      <w:r w:rsidRPr="00A42604">
        <w:rPr>
          <w:rFonts w:ascii="Gill Sans MT" w:hAnsi="Gill Sans MT" w:cs="Times New Roman"/>
          <w:sz w:val="20"/>
          <w:szCs w:val="20"/>
        </w:rPr>
        <w:t xml:space="preserve">A Restrição Orçamentária do Governo. In: Macroeconomia: teoria e política econômica. </w:t>
      </w:r>
      <w:r w:rsidRPr="006E7B92">
        <w:rPr>
          <w:rFonts w:ascii="Gill Sans MT" w:hAnsi="Gill Sans MT" w:cs="Times New Roman"/>
          <w:sz w:val="20"/>
          <w:szCs w:val="20"/>
          <w:lang w:val="en-US"/>
        </w:rPr>
        <w:t xml:space="preserve">Rio de </w:t>
      </w:r>
      <w:proofErr w:type="gramStart"/>
      <w:r w:rsidRPr="006E7B92">
        <w:rPr>
          <w:rFonts w:ascii="Gill Sans MT" w:hAnsi="Gill Sans MT" w:cs="Times New Roman"/>
          <w:sz w:val="20"/>
          <w:szCs w:val="20"/>
          <w:lang w:val="en-US"/>
        </w:rPr>
        <w:t>Janeiro :</w:t>
      </w:r>
      <w:proofErr w:type="gramEnd"/>
      <w:r w:rsidRPr="006E7B92">
        <w:rPr>
          <w:rFonts w:ascii="Gill Sans MT" w:hAnsi="Gill Sans MT" w:cs="Times New Roman"/>
          <w:sz w:val="20"/>
          <w:szCs w:val="20"/>
          <w:lang w:val="en-US"/>
        </w:rPr>
        <w:t xml:space="preserve"> Campus, 1999, p. 547-55.</w:t>
      </w:r>
    </w:p>
    <w:p w14:paraId="2F565357"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lang w:val="en-US"/>
        </w:rPr>
      </w:pPr>
    </w:p>
    <w:p w14:paraId="2B619F4C"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lang w:val="en-US"/>
        </w:rPr>
      </w:pPr>
      <w:r w:rsidRPr="00A42604">
        <w:rPr>
          <w:rFonts w:ascii="Gill Sans MT" w:hAnsi="Gill Sans MT" w:cs="Times New Roman"/>
          <w:sz w:val="20"/>
          <w:szCs w:val="20"/>
          <w:lang w:val="en-US"/>
        </w:rPr>
        <w:t>BANCHARD, O.; R. PERROTI. An Empirical Characterization of the Dynamic Effects of Changes in Government Spending and Taxes on Output. NBER Working Paper. Nº. 7269, 1999.</w:t>
      </w:r>
    </w:p>
    <w:p w14:paraId="414021BA"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lang w:val="en-US"/>
        </w:rPr>
      </w:pPr>
    </w:p>
    <w:p w14:paraId="746F4D90"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lang w:val="en-US"/>
        </w:rPr>
      </w:pPr>
      <w:r w:rsidRPr="00A42604">
        <w:rPr>
          <w:rFonts w:ascii="Gill Sans MT" w:hAnsi="Gill Sans MT" w:cs="Times New Roman"/>
          <w:sz w:val="20"/>
          <w:szCs w:val="20"/>
          <w:lang w:val="en-US"/>
        </w:rPr>
        <w:t>BARRO, R. On the Determination of Public Debt. Journal of Political Economy, v. 87 (October) pp. 940-71, 1979.</w:t>
      </w:r>
    </w:p>
    <w:p w14:paraId="5B28E7DF" w14:textId="77777777" w:rsidR="00A42604" w:rsidRPr="006E7B92" w:rsidRDefault="00A42604" w:rsidP="00A42604">
      <w:pPr>
        <w:autoSpaceDE w:val="0"/>
        <w:autoSpaceDN w:val="0"/>
        <w:adjustRightInd w:val="0"/>
        <w:spacing w:after="0" w:line="240" w:lineRule="auto"/>
        <w:jc w:val="both"/>
        <w:rPr>
          <w:lang w:val="en-US"/>
        </w:rPr>
      </w:pPr>
    </w:p>
    <w:p w14:paraId="11A862A2" w14:textId="74A81662" w:rsidR="00A42604" w:rsidRPr="00E30935" w:rsidRDefault="009E1E57" w:rsidP="00A42604">
      <w:pPr>
        <w:autoSpaceDE w:val="0"/>
        <w:autoSpaceDN w:val="0"/>
        <w:adjustRightInd w:val="0"/>
        <w:spacing w:after="0" w:line="240" w:lineRule="auto"/>
        <w:jc w:val="both"/>
        <w:rPr>
          <w:rFonts w:ascii="Gill Sans MT" w:hAnsi="Gill Sans MT" w:cs="Times New Roman"/>
          <w:sz w:val="20"/>
          <w:szCs w:val="20"/>
        </w:rPr>
      </w:pPr>
      <w:hyperlink r:id="rId21" w:history="1">
        <w:r w:rsidR="00E30935" w:rsidRPr="00874813">
          <w:rPr>
            <w:rStyle w:val="Hyperlink"/>
            <w:rFonts w:ascii="Gill Sans MT" w:hAnsi="Gill Sans MT" w:cs="Times New Roman"/>
            <w:sz w:val="20"/>
            <w:szCs w:val="20"/>
          </w:rPr>
          <w:t>BRAATZ, J. 2016. http://zh.clicrbs.com.br/rs/opiniao/noticia/2016/02/jaco-braatz-crise-e-oportunidade-as-novas-lrfs-estaduais-4982777.html#</w:t>
        </w:r>
      </w:hyperlink>
    </w:p>
    <w:p w14:paraId="03DCA796"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rPr>
      </w:pPr>
    </w:p>
    <w:p w14:paraId="6BCB89ED" w14:textId="77777777" w:rsidR="007461EA" w:rsidRPr="00A42604" w:rsidRDefault="007461EA" w:rsidP="008409F3">
      <w:pPr>
        <w:autoSpaceDE w:val="0"/>
        <w:autoSpaceDN w:val="0"/>
        <w:adjustRightInd w:val="0"/>
        <w:spacing w:after="0" w:line="240" w:lineRule="auto"/>
        <w:jc w:val="both"/>
        <w:rPr>
          <w:rFonts w:ascii="Gill Sans MT" w:hAnsi="Gill Sans MT" w:cs="Times New Roman"/>
          <w:sz w:val="20"/>
          <w:szCs w:val="20"/>
        </w:rPr>
      </w:pPr>
      <w:r w:rsidRPr="00A42604">
        <w:rPr>
          <w:rFonts w:ascii="Gill Sans MT" w:hAnsi="Gill Sans MT" w:cs="Times New Roman"/>
          <w:sz w:val="20"/>
          <w:szCs w:val="20"/>
        </w:rPr>
        <w:t>BRASIL. Ministério do Planejamento, Orçamento e Gestão. Secretaria de Orçamento Federal. Manual Técnico de Orçamento: instruções para elaboração da proposta orçamentária da União para 2005. Brasília, 2004.</w:t>
      </w:r>
    </w:p>
    <w:p w14:paraId="7A7741A7" w14:textId="77777777" w:rsidR="007461EA" w:rsidRPr="00A42604" w:rsidRDefault="007461EA" w:rsidP="008409F3">
      <w:pPr>
        <w:autoSpaceDE w:val="0"/>
        <w:autoSpaceDN w:val="0"/>
        <w:adjustRightInd w:val="0"/>
        <w:spacing w:after="0" w:line="240" w:lineRule="auto"/>
        <w:jc w:val="both"/>
        <w:rPr>
          <w:rFonts w:ascii="Gill Sans MT" w:hAnsi="Gill Sans MT" w:cs="Times New Roman"/>
          <w:sz w:val="20"/>
          <w:szCs w:val="20"/>
        </w:rPr>
      </w:pPr>
    </w:p>
    <w:p w14:paraId="4C1EADE9" w14:textId="6884DBC1" w:rsidR="007461EA" w:rsidRPr="00A42604" w:rsidRDefault="007461EA" w:rsidP="008409F3">
      <w:pPr>
        <w:autoSpaceDE w:val="0"/>
        <w:autoSpaceDN w:val="0"/>
        <w:adjustRightInd w:val="0"/>
        <w:spacing w:after="0" w:line="240" w:lineRule="auto"/>
        <w:jc w:val="both"/>
        <w:rPr>
          <w:rFonts w:ascii="Gill Sans MT" w:hAnsi="Gill Sans MT" w:cs="Times New Roman"/>
          <w:sz w:val="20"/>
          <w:szCs w:val="20"/>
        </w:rPr>
      </w:pPr>
      <w:r w:rsidRPr="00A42604">
        <w:rPr>
          <w:rFonts w:ascii="Gill Sans MT" w:hAnsi="Gill Sans MT" w:cs="Times New Roman"/>
          <w:sz w:val="20"/>
          <w:szCs w:val="20"/>
        </w:rPr>
        <w:t xml:space="preserve">GIAMBIAGI, Fabio; ALÉM, Ana Cláudia. A dinâmica da dívida pública e o caso brasileiro. In: Finanças Públicas: teoria e prática no Brasil. Rio de </w:t>
      </w:r>
      <w:r w:rsidR="00574E37" w:rsidRPr="00A42604">
        <w:rPr>
          <w:rFonts w:ascii="Gill Sans MT" w:hAnsi="Gill Sans MT" w:cs="Times New Roman"/>
          <w:sz w:val="20"/>
          <w:szCs w:val="20"/>
        </w:rPr>
        <w:t>Janeiro:</w:t>
      </w:r>
      <w:r w:rsidRPr="00A42604">
        <w:rPr>
          <w:rFonts w:ascii="Gill Sans MT" w:hAnsi="Gill Sans MT" w:cs="Times New Roman"/>
          <w:sz w:val="20"/>
          <w:szCs w:val="20"/>
        </w:rPr>
        <w:t xml:space="preserve"> Campus, 2001, p. 215-40.</w:t>
      </w:r>
    </w:p>
    <w:p w14:paraId="5002A26E" w14:textId="77777777" w:rsidR="007461EA" w:rsidRPr="00A42604" w:rsidRDefault="007461EA" w:rsidP="008409F3">
      <w:pPr>
        <w:autoSpaceDE w:val="0"/>
        <w:autoSpaceDN w:val="0"/>
        <w:adjustRightInd w:val="0"/>
        <w:spacing w:after="0" w:line="240" w:lineRule="auto"/>
        <w:jc w:val="both"/>
        <w:rPr>
          <w:rFonts w:ascii="Gill Sans MT" w:hAnsi="Gill Sans MT" w:cs="Times New Roman"/>
          <w:sz w:val="20"/>
          <w:szCs w:val="20"/>
        </w:rPr>
      </w:pPr>
    </w:p>
    <w:p w14:paraId="5E71D443"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rPr>
      </w:pPr>
      <w:r w:rsidRPr="00A42604">
        <w:rPr>
          <w:rFonts w:ascii="Gill Sans MT" w:hAnsi="Gill Sans MT" w:cs="Times New Roman"/>
          <w:sz w:val="20"/>
          <w:szCs w:val="20"/>
        </w:rPr>
        <w:t>GOBETTI, 2014. REGRAS FISCAIS NO BRASIL E NA EUROPA: UM ESTUDO COMPARATIVO E PROPOSITIVO.1http://www.ipea.gov.br/agencia/images/stories/PDFs/TDs/td_2018_web.pdf</w:t>
      </w:r>
    </w:p>
    <w:p w14:paraId="7DE53D69" w14:textId="77777777" w:rsidR="00A42604" w:rsidRPr="006E7B92" w:rsidRDefault="00A42604" w:rsidP="00A42604">
      <w:pPr>
        <w:autoSpaceDE w:val="0"/>
        <w:autoSpaceDN w:val="0"/>
        <w:adjustRightInd w:val="0"/>
        <w:spacing w:after="0" w:line="240" w:lineRule="auto"/>
        <w:jc w:val="both"/>
        <w:rPr>
          <w:rFonts w:ascii="Gill Sans MT" w:hAnsi="Gill Sans MT" w:cs="Times New Roman"/>
          <w:sz w:val="20"/>
          <w:szCs w:val="20"/>
        </w:rPr>
      </w:pPr>
    </w:p>
    <w:p w14:paraId="4BA38901"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lang w:val="en-US"/>
        </w:rPr>
      </w:pPr>
      <w:r w:rsidRPr="00A42604">
        <w:rPr>
          <w:rFonts w:ascii="Gill Sans MT" w:hAnsi="Gill Sans MT" w:cs="Times New Roman"/>
          <w:sz w:val="20"/>
          <w:szCs w:val="20"/>
          <w:lang w:val="en-US"/>
        </w:rPr>
        <w:t xml:space="preserve">HAGEMANN, R. The Structural Budget Balance: The IMF´s Methodology. </w:t>
      </w:r>
    </w:p>
    <w:p w14:paraId="5BCBC92C"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lang w:val="en-US"/>
        </w:rPr>
      </w:pPr>
      <w:r w:rsidRPr="00A42604">
        <w:rPr>
          <w:rFonts w:ascii="Gill Sans MT" w:hAnsi="Gill Sans MT" w:cs="Times New Roman"/>
          <w:sz w:val="20"/>
          <w:szCs w:val="20"/>
          <w:lang w:val="en-US"/>
        </w:rPr>
        <w:t>IMF Working Paper. WP/99/95, 1999.</w:t>
      </w:r>
    </w:p>
    <w:p w14:paraId="33F186B6" w14:textId="77777777" w:rsidR="00A42604" w:rsidRPr="00A42604" w:rsidRDefault="00A42604" w:rsidP="00A42604">
      <w:pPr>
        <w:autoSpaceDE w:val="0"/>
        <w:autoSpaceDN w:val="0"/>
        <w:adjustRightInd w:val="0"/>
        <w:spacing w:after="0" w:line="240" w:lineRule="auto"/>
        <w:jc w:val="both"/>
        <w:rPr>
          <w:rFonts w:ascii="Gill Sans MT" w:hAnsi="Gill Sans MT" w:cs="Times New Roman"/>
          <w:sz w:val="20"/>
          <w:szCs w:val="20"/>
          <w:lang w:val="en-US"/>
        </w:rPr>
      </w:pPr>
    </w:p>
    <w:p w14:paraId="53C9B2E8" w14:textId="77777777" w:rsidR="00A42604" w:rsidRPr="006E7B92" w:rsidRDefault="00A42604" w:rsidP="00A42604">
      <w:pPr>
        <w:autoSpaceDE w:val="0"/>
        <w:autoSpaceDN w:val="0"/>
        <w:adjustRightInd w:val="0"/>
        <w:spacing w:after="0" w:line="240" w:lineRule="auto"/>
        <w:jc w:val="both"/>
        <w:rPr>
          <w:rFonts w:ascii="Gill Sans MT" w:hAnsi="Gill Sans MT" w:cs="Times New Roman"/>
          <w:sz w:val="20"/>
          <w:szCs w:val="20"/>
        </w:rPr>
      </w:pPr>
      <w:r w:rsidRPr="00A42604">
        <w:rPr>
          <w:rFonts w:ascii="Gill Sans MT" w:hAnsi="Gill Sans MT" w:cs="Times New Roman"/>
          <w:sz w:val="20"/>
          <w:szCs w:val="20"/>
          <w:lang w:val="en-US"/>
        </w:rPr>
        <w:t xml:space="preserve">MARCEL M.; M. TOKMAN; R. VALDÉS; P. BENAVIDES. Structural Budget Balance: Methodology and Estimation for the Chilean Central Government 1987 </w:t>
      </w:r>
      <w:r w:rsidRPr="006E7B92">
        <w:rPr>
          <w:rFonts w:ascii="Gill Sans MT" w:hAnsi="Gill Sans MT" w:cs="Times New Roman"/>
          <w:sz w:val="20"/>
          <w:szCs w:val="20"/>
          <w:lang w:val="en-US"/>
        </w:rPr>
        <w:t xml:space="preserve">2001. </w:t>
      </w:r>
      <w:proofErr w:type="spellStart"/>
      <w:r w:rsidRPr="00A42604">
        <w:rPr>
          <w:rFonts w:ascii="Gill Sans MT" w:hAnsi="Gill Sans MT" w:cs="Times New Roman"/>
          <w:sz w:val="20"/>
          <w:szCs w:val="20"/>
        </w:rPr>
        <w:t>Estudios</w:t>
      </w:r>
      <w:proofErr w:type="spellEnd"/>
      <w:r w:rsidRPr="00A42604">
        <w:rPr>
          <w:rFonts w:ascii="Gill Sans MT" w:hAnsi="Gill Sans MT" w:cs="Times New Roman"/>
          <w:sz w:val="20"/>
          <w:szCs w:val="20"/>
        </w:rPr>
        <w:t xml:space="preserve"> de </w:t>
      </w:r>
      <w:proofErr w:type="spellStart"/>
      <w:r w:rsidRPr="00A42604">
        <w:rPr>
          <w:rFonts w:ascii="Gill Sans MT" w:hAnsi="Gill Sans MT" w:cs="Times New Roman"/>
          <w:sz w:val="20"/>
          <w:szCs w:val="20"/>
        </w:rPr>
        <w:t>Finanzas</w:t>
      </w:r>
      <w:proofErr w:type="spellEnd"/>
      <w:r w:rsidRPr="00A42604">
        <w:rPr>
          <w:rFonts w:ascii="Gill Sans MT" w:hAnsi="Gill Sans MT" w:cs="Times New Roman"/>
          <w:sz w:val="20"/>
          <w:szCs w:val="20"/>
        </w:rPr>
        <w:t xml:space="preserve"> Públicas. Nº.  </w:t>
      </w:r>
      <w:r w:rsidRPr="006E7B92">
        <w:rPr>
          <w:rFonts w:ascii="Gill Sans MT" w:hAnsi="Gill Sans MT" w:cs="Times New Roman"/>
          <w:sz w:val="20"/>
          <w:szCs w:val="20"/>
        </w:rPr>
        <w:t>1, 2002.</w:t>
      </w:r>
    </w:p>
    <w:p w14:paraId="7BE1505C" w14:textId="77777777" w:rsidR="00A42604" w:rsidRPr="006E7B92" w:rsidRDefault="00A42604" w:rsidP="00A42604">
      <w:pPr>
        <w:autoSpaceDE w:val="0"/>
        <w:autoSpaceDN w:val="0"/>
        <w:adjustRightInd w:val="0"/>
        <w:spacing w:after="0" w:line="240" w:lineRule="auto"/>
        <w:jc w:val="both"/>
        <w:rPr>
          <w:rFonts w:ascii="Gill Sans MT" w:hAnsi="Gill Sans MT" w:cs="Times New Roman"/>
          <w:sz w:val="20"/>
          <w:szCs w:val="20"/>
        </w:rPr>
      </w:pPr>
    </w:p>
    <w:p w14:paraId="0DD4D0B6" w14:textId="77777777" w:rsidR="00A42604" w:rsidRPr="00A42604" w:rsidRDefault="00A42604" w:rsidP="00A42604">
      <w:pPr>
        <w:autoSpaceDE w:val="0"/>
        <w:autoSpaceDN w:val="0"/>
        <w:adjustRightInd w:val="0"/>
        <w:spacing w:after="0" w:line="240" w:lineRule="auto"/>
        <w:jc w:val="both"/>
        <w:rPr>
          <w:rStyle w:val="Hyperlink"/>
          <w:rFonts w:ascii="Gill Sans MT" w:hAnsi="Gill Sans MT" w:cs="Times New Roman"/>
          <w:color w:val="auto"/>
          <w:sz w:val="20"/>
          <w:szCs w:val="20"/>
        </w:rPr>
      </w:pPr>
      <w:r w:rsidRPr="00A42604">
        <w:rPr>
          <w:rFonts w:ascii="Gill Sans MT" w:hAnsi="Gill Sans MT" w:cs="Times New Roman"/>
          <w:sz w:val="20"/>
          <w:szCs w:val="20"/>
        </w:rPr>
        <w:t xml:space="preserve">MACIEL, 2015. Capacidade de investir com recursos próprios dos estados. </w:t>
      </w:r>
      <w:hyperlink r:id="rId22" w:history="1">
        <w:r w:rsidRPr="00A42604">
          <w:rPr>
            <w:rStyle w:val="Hyperlink"/>
            <w:rFonts w:ascii="Gill Sans MT" w:hAnsi="Gill Sans MT" w:cs="Times New Roman"/>
            <w:color w:val="auto"/>
            <w:sz w:val="20"/>
            <w:szCs w:val="20"/>
          </w:rPr>
          <w:t>http://www.brasil-economia-governo.org.br/2015/12/07/capacidade-de-investir-com-recursos-proprios-dos-estados/</w:t>
        </w:r>
      </w:hyperlink>
    </w:p>
    <w:p w14:paraId="38579030" w14:textId="77777777" w:rsidR="00A42604" w:rsidRPr="006E7B92" w:rsidRDefault="00A42604" w:rsidP="00A42604">
      <w:pPr>
        <w:autoSpaceDE w:val="0"/>
        <w:autoSpaceDN w:val="0"/>
        <w:adjustRightInd w:val="0"/>
        <w:spacing w:after="0" w:line="240" w:lineRule="auto"/>
        <w:jc w:val="both"/>
        <w:rPr>
          <w:rFonts w:ascii="Gill Sans MT" w:hAnsi="Gill Sans MT" w:cs="Times New Roman"/>
          <w:sz w:val="20"/>
          <w:szCs w:val="20"/>
        </w:rPr>
      </w:pPr>
    </w:p>
    <w:p w14:paraId="101E2730" w14:textId="77777777" w:rsidR="007461EA" w:rsidRPr="00A42604" w:rsidRDefault="007461EA" w:rsidP="008409F3">
      <w:pPr>
        <w:autoSpaceDE w:val="0"/>
        <w:autoSpaceDN w:val="0"/>
        <w:adjustRightInd w:val="0"/>
        <w:spacing w:after="0" w:line="240" w:lineRule="auto"/>
        <w:jc w:val="both"/>
        <w:rPr>
          <w:rFonts w:ascii="Gill Sans MT" w:hAnsi="Gill Sans MT" w:cs="Times New Roman"/>
          <w:sz w:val="20"/>
          <w:szCs w:val="20"/>
        </w:rPr>
      </w:pPr>
      <w:r w:rsidRPr="00A42604">
        <w:rPr>
          <w:rFonts w:ascii="Gill Sans MT" w:hAnsi="Gill Sans MT" w:cs="Times New Roman"/>
          <w:sz w:val="20"/>
          <w:szCs w:val="20"/>
        </w:rPr>
        <w:t xml:space="preserve">ROCHA, Alexandre A.; DIAS, Fernando A. C. “Marcos do Processo de Ajuste do Setor Público Brasileiro”. </w:t>
      </w:r>
      <w:proofErr w:type="spellStart"/>
      <w:r w:rsidRPr="00A42604">
        <w:rPr>
          <w:rFonts w:ascii="Gill Sans MT" w:hAnsi="Gill Sans MT" w:cs="Times New Roman"/>
          <w:sz w:val="20"/>
          <w:szCs w:val="20"/>
        </w:rPr>
        <w:t>Senatus</w:t>
      </w:r>
      <w:proofErr w:type="spellEnd"/>
      <w:r w:rsidRPr="00A42604">
        <w:rPr>
          <w:rFonts w:ascii="Gill Sans MT" w:hAnsi="Gill Sans MT" w:cs="Times New Roman"/>
          <w:sz w:val="20"/>
          <w:szCs w:val="20"/>
        </w:rPr>
        <w:t xml:space="preserve">. </w:t>
      </w:r>
      <w:proofErr w:type="gramStart"/>
      <w:r w:rsidRPr="00A42604">
        <w:rPr>
          <w:rFonts w:ascii="Gill Sans MT" w:hAnsi="Gill Sans MT" w:cs="Times New Roman"/>
          <w:sz w:val="20"/>
          <w:szCs w:val="20"/>
        </w:rPr>
        <w:t>Brasília :</w:t>
      </w:r>
      <w:proofErr w:type="gramEnd"/>
      <w:r w:rsidRPr="00A42604">
        <w:rPr>
          <w:rFonts w:ascii="Gill Sans MT" w:hAnsi="Gill Sans MT" w:cs="Times New Roman"/>
          <w:sz w:val="20"/>
          <w:szCs w:val="20"/>
        </w:rPr>
        <w:t xml:space="preserve"> Senado Federal, 6(1):66–71, mai. 2008.[1]</w:t>
      </w:r>
    </w:p>
    <w:p w14:paraId="6FD20C04" w14:textId="77777777" w:rsidR="007461EA" w:rsidRPr="00A42604" w:rsidRDefault="007461EA" w:rsidP="008409F3">
      <w:pPr>
        <w:autoSpaceDE w:val="0"/>
        <w:autoSpaceDN w:val="0"/>
        <w:adjustRightInd w:val="0"/>
        <w:spacing w:after="0" w:line="240" w:lineRule="auto"/>
        <w:jc w:val="both"/>
        <w:rPr>
          <w:rFonts w:ascii="Gill Sans MT" w:hAnsi="Gill Sans MT" w:cs="Times New Roman"/>
          <w:sz w:val="20"/>
          <w:szCs w:val="20"/>
        </w:rPr>
      </w:pPr>
    </w:p>
    <w:p w14:paraId="6823DC67" w14:textId="77777777" w:rsidR="007461EA" w:rsidRPr="00261207" w:rsidRDefault="007461EA" w:rsidP="008409F3">
      <w:pPr>
        <w:autoSpaceDE w:val="0"/>
        <w:autoSpaceDN w:val="0"/>
        <w:adjustRightInd w:val="0"/>
        <w:spacing w:after="0" w:line="240" w:lineRule="auto"/>
        <w:jc w:val="both"/>
        <w:rPr>
          <w:rFonts w:ascii="Gill Sans MT" w:hAnsi="Gill Sans MT" w:cs="Times New Roman"/>
          <w:sz w:val="20"/>
          <w:szCs w:val="20"/>
        </w:rPr>
      </w:pPr>
      <w:r w:rsidRPr="00A42604">
        <w:rPr>
          <w:rFonts w:ascii="Gill Sans MT" w:hAnsi="Gill Sans MT" w:cs="Times New Roman"/>
          <w:sz w:val="20"/>
          <w:szCs w:val="20"/>
        </w:rPr>
        <w:t xml:space="preserve">ROCHA, Fabiana. Déficit público e a sustentabilidade da política fiscal: teoria e aplicações. In: </w:t>
      </w:r>
      <w:proofErr w:type="spellStart"/>
      <w:r w:rsidRPr="00A42604">
        <w:rPr>
          <w:rFonts w:ascii="Gill Sans MT" w:hAnsi="Gill Sans MT" w:cs="Times New Roman"/>
          <w:sz w:val="20"/>
          <w:szCs w:val="20"/>
        </w:rPr>
        <w:t>Biderman</w:t>
      </w:r>
      <w:proofErr w:type="spellEnd"/>
      <w:r w:rsidRPr="00A42604">
        <w:rPr>
          <w:rFonts w:ascii="Gill Sans MT" w:hAnsi="Gill Sans MT" w:cs="Times New Roman"/>
          <w:sz w:val="20"/>
          <w:szCs w:val="20"/>
        </w:rPr>
        <w:t xml:space="preserve">, Ciro; </w:t>
      </w:r>
      <w:proofErr w:type="spellStart"/>
      <w:r w:rsidRPr="00A42604">
        <w:rPr>
          <w:rFonts w:ascii="Gill Sans MT" w:hAnsi="Gill Sans MT" w:cs="Times New Roman"/>
          <w:sz w:val="20"/>
          <w:szCs w:val="20"/>
        </w:rPr>
        <w:t>Arvate</w:t>
      </w:r>
      <w:proofErr w:type="spellEnd"/>
      <w:r w:rsidRPr="00A42604">
        <w:rPr>
          <w:rFonts w:ascii="Gill Sans MT" w:hAnsi="Gill Sans MT" w:cs="Times New Roman"/>
          <w:sz w:val="20"/>
          <w:szCs w:val="20"/>
        </w:rPr>
        <w:t>, Paulo (</w:t>
      </w:r>
      <w:proofErr w:type="spellStart"/>
      <w:r w:rsidRPr="00A42604">
        <w:rPr>
          <w:rFonts w:ascii="Gill Sans MT" w:hAnsi="Gill Sans MT" w:cs="Times New Roman"/>
          <w:sz w:val="20"/>
          <w:szCs w:val="20"/>
        </w:rPr>
        <w:t>Orgs</w:t>
      </w:r>
      <w:proofErr w:type="spellEnd"/>
      <w:r w:rsidRPr="00A42604">
        <w:rPr>
          <w:rFonts w:ascii="Gill Sans MT" w:hAnsi="Gill Sans MT" w:cs="Times New Roman"/>
          <w:sz w:val="20"/>
          <w:szCs w:val="20"/>
        </w:rPr>
        <w:t xml:space="preserve">.). Economia do Setor Público no Brasil. </w:t>
      </w:r>
      <w:r w:rsidRPr="00261207">
        <w:rPr>
          <w:rFonts w:ascii="Gill Sans MT" w:hAnsi="Gill Sans MT" w:cs="Times New Roman"/>
          <w:sz w:val="20"/>
          <w:szCs w:val="20"/>
        </w:rPr>
        <w:t xml:space="preserve">Rio de </w:t>
      </w:r>
      <w:proofErr w:type="gramStart"/>
      <w:r w:rsidRPr="00261207">
        <w:rPr>
          <w:rFonts w:ascii="Gill Sans MT" w:hAnsi="Gill Sans MT" w:cs="Times New Roman"/>
          <w:sz w:val="20"/>
          <w:szCs w:val="20"/>
        </w:rPr>
        <w:t>Janeiro :</w:t>
      </w:r>
      <w:proofErr w:type="gramEnd"/>
      <w:r w:rsidRPr="00261207">
        <w:rPr>
          <w:rFonts w:ascii="Gill Sans MT" w:hAnsi="Gill Sans MT" w:cs="Times New Roman"/>
          <w:sz w:val="20"/>
          <w:szCs w:val="20"/>
        </w:rPr>
        <w:t xml:space="preserve"> Campus, 2005, p. 493-507.</w:t>
      </w:r>
    </w:p>
    <w:p w14:paraId="42CB4B70" w14:textId="77777777" w:rsidR="007461EA" w:rsidRPr="00261207" w:rsidRDefault="007461EA" w:rsidP="008409F3">
      <w:pPr>
        <w:autoSpaceDE w:val="0"/>
        <w:autoSpaceDN w:val="0"/>
        <w:adjustRightInd w:val="0"/>
        <w:spacing w:after="0" w:line="240" w:lineRule="auto"/>
        <w:jc w:val="both"/>
        <w:rPr>
          <w:rFonts w:ascii="Gill Sans MT" w:hAnsi="Gill Sans MT" w:cs="Times New Roman"/>
          <w:sz w:val="20"/>
          <w:szCs w:val="20"/>
        </w:rPr>
      </w:pPr>
    </w:p>
    <w:p w14:paraId="14C46C63" w14:textId="77777777" w:rsidR="00851F13" w:rsidRPr="00A42604" w:rsidRDefault="00851F13" w:rsidP="008409F3">
      <w:pPr>
        <w:autoSpaceDE w:val="0"/>
        <w:autoSpaceDN w:val="0"/>
        <w:adjustRightInd w:val="0"/>
        <w:spacing w:after="0" w:line="240" w:lineRule="auto"/>
        <w:jc w:val="both"/>
        <w:rPr>
          <w:rFonts w:ascii="Gill Sans MT" w:hAnsi="Gill Sans MT" w:cs="Times New Roman"/>
          <w:sz w:val="20"/>
          <w:szCs w:val="20"/>
        </w:rPr>
      </w:pPr>
      <w:proofErr w:type="spellStart"/>
      <w:r w:rsidRPr="00A42604">
        <w:rPr>
          <w:rFonts w:ascii="Gill Sans MT" w:hAnsi="Gill Sans MT" w:cs="Times New Roman"/>
          <w:sz w:val="20"/>
          <w:szCs w:val="20"/>
        </w:rPr>
        <w:t>ZUANAZZI</w:t>
      </w:r>
      <w:proofErr w:type="spellEnd"/>
      <w:r w:rsidRPr="00A42604">
        <w:rPr>
          <w:rFonts w:ascii="Gill Sans MT" w:hAnsi="Gill Sans MT" w:cs="Times New Roman"/>
          <w:sz w:val="20"/>
          <w:szCs w:val="20"/>
        </w:rPr>
        <w:t xml:space="preserve">, Pedro </w:t>
      </w:r>
      <w:proofErr w:type="spellStart"/>
      <w:r w:rsidRPr="00A42604">
        <w:rPr>
          <w:rFonts w:ascii="Gill Sans MT" w:hAnsi="Gill Sans MT" w:cs="Times New Roman"/>
          <w:sz w:val="20"/>
          <w:szCs w:val="20"/>
        </w:rPr>
        <w:t>Tonon</w:t>
      </w:r>
      <w:proofErr w:type="spellEnd"/>
      <w:r w:rsidRPr="00A42604">
        <w:rPr>
          <w:rFonts w:ascii="Gill Sans MT" w:hAnsi="Gill Sans MT" w:cs="Times New Roman"/>
          <w:sz w:val="20"/>
          <w:szCs w:val="20"/>
        </w:rPr>
        <w:t xml:space="preserve">; </w:t>
      </w:r>
      <w:proofErr w:type="spellStart"/>
      <w:r w:rsidRPr="00A42604">
        <w:rPr>
          <w:rFonts w:ascii="Gill Sans MT" w:hAnsi="Gill Sans MT" w:cs="Times New Roman"/>
          <w:sz w:val="20"/>
          <w:szCs w:val="20"/>
        </w:rPr>
        <w:t>STAMPE</w:t>
      </w:r>
      <w:proofErr w:type="spellEnd"/>
      <w:r w:rsidRPr="00A42604">
        <w:rPr>
          <w:rFonts w:ascii="Gill Sans MT" w:hAnsi="Gill Sans MT" w:cs="Times New Roman"/>
          <w:sz w:val="20"/>
          <w:szCs w:val="20"/>
        </w:rPr>
        <w:t xml:space="preserve">, Marianne </w:t>
      </w:r>
      <w:proofErr w:type="spellStart"/>
      <w:r w:rsidRPr="00A42604">
        <w:rPr>
          <w:rFonts w:ascii="Gill Sans MT" w:hAnsi="Gill Sans MT" w:cs="Times New Roman"/>
          <w:sz w:val="20"/>
          <w:szCs w:val="20"/>
        </w:rPr>
        <w:t>Zwilling</w:t>
      </w:r>
      <w:proofErr w:type="spellEnd"/>
      <w:r w:rsidRPr="00A42604">
        <w:rPr>
          <w:rFonts w:ascii="Gill Sans MT" w:hAnsi="Gill Sans MT" w:cs="Times New Roman"/>
          <w:sz w:val="20"/>
          <w:szCs w:val="20"/>
        </w:rPr>
        <w:t>. A transição demográfica no RS e seus impactos econômicos. In: PICHLER, Walter Arno (</w:t>
      </w:r>
      <w:proofErr w:type="spellStart"/>
      <w:r w:rsidRPr="00A42604">
        <w:rPr>
          <w:rFonts w:ascii="Gill Sans MT" w:hAnsi="Gill Sans MT" w:cs="Times New Roman"/>
          <w:sz w:val="20"/>
          <w:szCs w:val="20"/>
        </w:rPr>
        <w:t>org</w:t>
      </w:r>
      <w:proofErr w:type="spellEnd"/>
      <w:r w:rsidRPr="00A42604">
        <w:rPr>
          <w:rFonts w:ascii="Gill Sans MT" w:hAnsi="Gill Sans MT" w:cs="Times New Roman"/>
          <w:sz w:val="20"/>
          <w:szCs w:val="20"/>
        </w:rPr>
        <w:t xml:space="preserve">) et al. Panorama Socioeconômico e perspectivas para a economia gaúcha. FEE, Porto Alegre, 2014, p. 341-362.  </w:t>
      </w:r>
    </w:p>
    <w:sectPr w:rsidR="00851F13" w:rsidRPr="00A42604" w:rsidSect="00B95324">
      <w:footerReference w:type="defaul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4BD2D" w14:textId="77777777" w:rsidR="009E1E57" w:rsidRDefault="009E1E57" w:rsidP="0091060C">
      <w:pPr>
        <w:spacing w:after="0" w:line="240" w:lineRule="auto"/>
      </w:pPr>
      <w:r>
        <w:separator/>
      </w:r>
    </w:p>
  </w:endnote>
  <w:endnote w:type="continuationSeparator" w:id="0">
    <w:p w14:paraId="493028E7" w14:textId="77777777" w:rsidR="009E1E57" w:rsidRDefault="009E1E57" w:rsidP="0091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840988"/>
      <w:docPartObj>
        <w:docPartGallery w:val="Page Numbers (Bottom of Page)"/>
        <w:docPartUnique/>
      </w:docPartObj>
    </w:sdtPr>
    <w:sdtEndPr/>
    <w:sdtContent>
      <w:p w14:paraId="5D193BAA" w14:textId="77777777" w:rsidR="00B47747" w:rsidRDefault="00B47747">
        <w:pPr>
          <w:pStyle w:val="Rodap"/>
          <w:jc w:val="center"/>
        </w:pPr>
        <w:r>
          <w:fldChar w:fldCharType="begin"/>
        </w:r>
        <w:r>
          <w:instrText>PAGE   \* MERGEFORMAT</w:instrText>
        </w:r>
        <w:r>
          <w:fldChar w:fldCharType="separate"/>
        </w:r>
        <w:r w:rsidR="0087330E">
          <w:rPr>
            <w:noProof/>
          </w:rPr>
          <w:t>18</w:t>
        </w:r>
        <w:r>
          <w:fldChar w:fldCharType="end"/>
        </w:r>
      </w:p>
    </w:sdtContent>
  </w:sdt>
  <w:p w14:paraId="2C12C885" w14:textId="77777777" w:rsidR="00B47747" w:rsidRDefault="00B477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30168" w14:textId="77777777" w:rsidR="009E1E57" w:rsidRDefault="009E1E57" w:rsidP="0091060C">
      <w:pPr>
        <w:spacing w:after="0" w:line="240" w:lineRule="auto"/>
      </w:pPr>
      <w:r>
        <w:separator/>
      </w:r>
    </w:p>
  </w:footnote>
  <w:footnote w:type="continuationSeparator" w:id="0">
    <w:p w14:paraId="20E4E394" w14:textId="77777777" w:rsidR="009E1E57" w:rsidRDefault="009E1E57" w:rsidP="0091060C">
      <w:pPr>
        <w:spacing w:after="0" w:line="240" w:lineRule="auto"/>
      </w:pPr>
      <w:r>
        <w:continuationSeparator/>
      </w:r>
    </w:p>
  </w:footnote>
  <w:footnote w:id="1">
    <w:p w14:paraId="6F3A509B" w14:textId="13A39E32" w:rsidR="00B47747" w:rsidRPr="00151788" w:rsidRDefault="00B47747" w:rsidP="0091060C">
      <w:pPr>
        <w:pStyle w:val="Textodenotaderodap"/>
        <w:jc w:val="both"/>
        <w:rPr>
          <w:rFonts w:ascii="Gill Sans MT" w:hAnsi="Gill Sans MT"/>
        </w:rPr>
      </w:pPr>
      <w:r w:rsidRPr="00151788">
        <w:rPr>
          <w:rStyle w:val="Refdenotaderodap"/>
          <w:rFonts w:ascii="Gill Sans MT" w:hAnsi="Gill Sans MT"/>
        </w:rPr>
        <w:footnoteRef/>
      </w:r>
      <w:r w:rsidRPr="00151788">
        <w:rPr>
          <w:rFonts w:ascii="Gill Sans MT" w:hAnsi="Gill Sans MT"/>
        </w:rPr>
        <w:t xml:space="preserve"> A Lei Complementar nº. 87/96 (Lei Kandir), desonerou do pagamento do ICMS, as exportações de produtos industrializados, semi-elaborados e produtos primários e permitiu o aproveitamento de créditos do imposto referente à compra de bens de capital, fornecimento de energia elétrica, e serviços de comunicações.</w:t>
      </w:r>
    </w:p>
  </w:footnote>
  <w:footnote w:id="2">
    <w:p w14:paraId="2B3332D6" w14:textId="2A50F342" w:rsidR="00B47747" w:rsidRPr="00151788" w:rsidRDefault="00B47747" w:rsidP="0091060C">
      <w:pPr>
        <w:pStyle w:val="Textodenotaderodap"/>
        <w:jc w:val="both"/>
        <w:rPr>
          <w:rFonts w:ascii="Gill Sans MT" w:hAnsi="Gill Sans MT"/>
        </w:rPr>
      </w:pPr>
      <w:r w:rsidRPr="00151788">
        <w:rPr>
          <w:rStyle w:val="Refdenotaderodap"/>
          <w:rFonts w:ascii="Gill Sans MT" w:hAnsi="Gill Sans MT"/>
        </w:rPr>
        <w:footnoteRef/>
      </w:r>
      <w:r w:rsidRPr="00151788">
        <w:rPr>
          <w:rFonts w:ascii="Gill Sans MT" w:hAnsi="Gill Sans MT"/>
        </w:rPr>
        <w:t xml:space="preserve"> </w:t>
      </w:r>
      <w:r w:rsidRPr="00151788">
        <w:rPr>
          <w:rFonts w:ascii="Gill Sans MT" w:hAnsi="Gill Sans MT"/>
          <w:lang w:val="pt-BR"/>
        </w:rPr>
        <w:t>Em 1998, a União assumiu a dívida d</w:t>
      </w:r>
      <w:r w:rsidR="00D83D98">
        <w:rPr>
          <w:rFonts w:ascii="Gill Sans MT" w:hAnsi="Gill Sans MT"/>
          <w:lang w:val="pt-BR"/>
        </w:rPr>
        <w:t xml:space="preserve">os </w:t>
      </w:r>
      <w:r w:rsidRPr="00151788">
        <w:rPr>
          <w:rFonts w:ascii="Gill Sans MT" w:hAnsi="Gill Sans MT"/>
          <w:lang w:val="pt-BR"/>
        </w:rPr>
        <w:t>Estados. O RS ficou obrigado a pagar R$ 9,5 bilhões em 30 anos, em parcelas que não excedessem a 13% da RLR, com juros anuais de 6% e correção pelo IGP-DI. Atualmente, há negociações em andamento com vistas a alterar o indexador e reduzir a taxa de juros desses contratos.</w:t>
      </w:r>
    </w:p>
  </w:footnote>
  <w:footnote w:id="3">
    <w:p w14:paraId="6631FE34" w14:textId="6D965067" w:rsidR="00B47747" w:rsidRPr="00151788" w:rsidRDefault="00B47747" w:rsidP="00723AB1">
      <w:pPr>
        <w:pStyle w:val="Textodenotaderodap"/>
        <w:jc w:val="both"/>
        <w:rPr>
          <w:rFonts w:ascii="Gill Sans MT" w:hAnsi="Gill Sans MT"/>
          <w:lang w:val="pt-BR"/>
        </w:rPr>
      </w:pPr>
      <w:r w:rsidRPr="00151788">
        <w:rPr>
          <w:rStyle w:val="Refdenotaderodap"/>
          <w:rFonts w:ascii="Gill Sans MT" w:hAnsi="Gill Sans MT"/>
        </w:rPr>
        <w:footnoteRef/>
      </w:r>
      <w:r w:rsidRPr="00151788">
        <w:rPr>
          <w:rFonts w:ascii="Gill Sans MT" w:hAnsi="Gill Sans MT"/>
        </w:rPr>
        <w:t xml:space="preserve"> A Nova Matriz Econômica foi caracterizada por: expansão fiscal da União e estímulos à expansao fiscal dos entes, crédito abundante a juros subsidiados, tanto ao consumo quanto aos chamados ‘campeões nacionais’ - grupos de empresas escolhidas pelo governo para se tornarem grandes </w:t>
      </w:r>
      <w:r w:rsidRPr="00151788">
        <w:rPr>
          <w:rFonts w:ascii="Gill Sans MT" w:hAnsi="Gill Sans MT"/>
          <w:i/>
        </w:rPr>
        <w:t>players</w:t>
      </w:r>
      <w:r w:rsidRPr="00151788">
        <w:rPr>
          <w:rFonts w:ascii="Gill Sans MT" w:hAnsi="Gill Sans MT"/>
        </w:rPr>
        <w:t xml:space="preserve"> mundiais (monopólios e oligopólios) e taxa de câmbio controlada com vistas ao controle da inflaç</w:t>
      </w:r>
      <w:r>
        <w:rPr>
          <w:rFonts w:ascii="Gill Sans MT" w:hAnsi="Gill Sans MT"/>
        </w:rPr>
        <w:t>ã</w:t>
      </w:r>
      <w:r w:rsidRPr="00151788">
        <w:rPr>
          <w:rFonts w:ascii="Gill Sans MT" w:hAnsi="Gill Sans MT"/>
        </w:rPr>
        <w:t>o. Além disso, medidas heterodoxas de intervenção direta do estado na economia como controles diretos de preços (gasolina e energia, por exemplo) e desonerações tributárias verticais</w:t>
      </w:r>
      <w:r w:rsidR="00567495">
        <w:rPr>
          <w:rFonts w:ascii="Gill Sans MT" w:hAnsi="Gill Sans MT"/>
        </w:rPr>
        <w:t xml:space="preserve"> trouxeram instabilidade, incerteza e falta de previsibilidade</w:t>
      </w:r>
      <w:r w:rsidRPr="00151788">
        <w:rPr>
          <w:rFonts w:ascii="Gill Sans MT" w:hAnsi="Gill Sans MT"/>
        </w:rPr>
        <w:t>.</w:t>
      </w:r>
    </w:p>
  </w:footnote>
  <w:footnote w:id="4">
    <w:p w14:paraId="26F1EF27" w14:textId="77777777" w:rsidR="00B47747" w:rsidRPr="00151788" w:rsidRDefault="00B47747" w:rsidP="00D81AE6">
      <w:pPr>
        <w:pStyle w:val="Textodenotaderodap"/>
        <w:jc w:val="both"/>
        <w:rPr>
          <w:rFonts w:ascii="Gill Sans MT" w:hAnsi="Gill Sans MT"/>
          <w:lang w:val="pt-BR"/>
        </w:rPr>
      </w:pPr>
      <w:r w:rsidRPr="00151788">
        <w:rPr>
          <w:rStyle w:val="Refdenotaderodap"/>
          <w:rFonts w:ascii="Gill Sans MT" w:hAnsi="Gill Sans MT"/>
        </w:rPr>
        <w:footnoteRef/>
      </w:r>
      <w:r w:rsidRPr="00151788">
        <w:rPr>
          <w:rFonts w:ascii="Gill Sans MT" w:hAnsi="Gill Sans MT"/>
        </w:rPr>
        <w:t xml:space="preserve"> Os resultados acima indicam que a elasticidade ICMS-PIB é </w:t>
      </w:r>
      <w:r w:rsidRPr="00151788">
        <w:rPr>
          <w:rFonts w:ascii="Calibri" w:hAnsi="Calibri" w:cs="Calibri"/>
        </w:rPr>
        <w:t>ε</w:t>
      </w:r>
      <w:r w:rsidRPr="00151788">
        <w:rPr>
          <w:rFonts w:ascii="Gill Sans MT" w:hAnsi="Gill Sans MT"/>
        </w:rPr>
        <w:t xml:space="preserve"> =1,0636. Esse resultado é consistente com os cálculos das elasticidades para o IVA de países da OCDE [HAGEMANN (1999), que estão em um intervalo de [0.95, 1.25]. MARCEL </w:t>
      </w:r>
      <w:r w:rsidRPr="00151788">
        <w:rPr>
          <w:rFonts w:ascii="Gill Sans MT" w:hAnsi="Gill Sans MT"/>
          <w:i/>
        </w:rPr>
        <w:t>et al.</w:t>
      </w:r>
      <w:r w:rsidRPr="00151788">
        <w:rPr>
          <w:rFonts w:ascii="Gill Sans MT" w:hAnsi="Gill Sans MT"/>
        </w:rPr>
        <w:t xml:space="preserve"> encontrou para o Chile o valor de 1,05. É importante mencionar que o valor da elasticidade deve ser próximo à unidade para que não haja inconsistências intertemporais de longo prazo na economia já que uma alta elasticidade indica que no limite a arrecadação poderia ultrapassar o PIB.</w:t>
      </w:r>
    </w:p>
  </w:footnote>
  <w:footnote w:id="5">
    <w:p w14:paraId="2A7071FA" w14:textId="7FAD0A28" w:rsidR="00B47747" w:rsidRPr="00151788" w:rsidRDefault="00B47747" w:rsidP="00B74CDF">
      <w:pPr>
        <w:pStyle w:val="Textodenotaderodap"/>
        <w:jc w:val="both"/>
        <w:rPr>
          <w:rFonts w:ascii="Gill Sans MT" w:hAnsi="Gill Sans MT"/>
          <w:lang w:val="pt-BR"/>
        </w:rPr>
      </w:pPr>
      <w:r w:rsidRPr="00151788">
        <w:rPr>
          <w:rStyle w:val="Refdenotaderodap"/>
          <w:rFonts w:ascii="Gill Sans MT" w:hAnsi="Gill Sans MT"/>
        </w:rPr>
        <w:footnoteRef/>
      </w:r>
      <w:r w:rsidRPr="00151788">
        <w:rPr>
          <w:rFonts w:ascii="Gill Sans MT" w:hAnsi="Gill Sans MT"/>
        </w:rPr>
        <w:t xml:space="preserve"> </w:t>
      </w:r>
      <w:r w:rsidRPr="00151788">
        <w:rPr>
          <w:rFonts w:ascii="Gill Sans MT" w:hAnsi="Gill Sans MT"/>
          <w:lang w:val="pt-BR"/>
        </w:rPr>
        <w:t>Segundo dados da FEE, o Valor Agregado Bruto (VAB) da economia gaúcha apresenta a seguinte divisão em termos dos setores econômicos: 65% serviços, 25% indústria e 10% agropecuária. Deve–se ressaltar que, apesar da baixa participação da agropecuária no VAB, este setor possui, no RS, fortes ligações com a indústria de transformação, o que de acordo com estudos, se somadas as atividades agroindustriais, esta participação chega a aproximadamente 30% da estrutura econômica, além de ser o setor econômico mais desconcentrado no território, com geração de grande número de empregos em todas as regiões gaúchas. Para mais informações ver SEPLAN. Estudo de Desenvolvimento Regional e Logística do RS - Rumos 2015.</w:t>
      </w:r>
    </w:p>
  </w:footnote>
  <w:footnote w:id="6">
    <w:p w14:paraId="36D15040" w14:textId="77777777" w:rsidR="00B47747" w:rsidRPr="00151788" w:rsidRDefault="00B47747" w:rsidP="004B16F8">
      <w:pPr>
        <w:pStyle w:val="Textodenotaderodap"/>
        <w:rPr>
          <w:rFonts w:ascii="Gill Sans MT" w:hAnsi="Gill Sans MT"/>
          <w:lang w:val="pt-BR"/>
        </w:rPr>
      </w:pPr>
      <w:r w:rsidRPr="00151788">
        <w:rPr>
          <w:rStyle w:val="Refdenotaderodap"/>
          <w:rFonts w:ascii="Gill Sans MT" w:hAnsi="Gill Sans MT"/>
        </w:rPr>
        <w:footnoteRef/>
      </w:r>
      <w:r w:rsidRPr="00151788">
        <w:rPr>
          <w:rFonts w:ascii="Gill Sans MT" w:hAnsi="Gill Sans MT"/>
        </w:rPr>
        <w:t xml:space="preserve"> </w:t>
      </w:r>
      <w:r w:rsidRPr="00151788">
        <w:rPr>
          <w:rFonts w:ascii="Gill Sans MT" w:hAnsi="Gill Sans MT"/>
          <w:lang w:val="pt-BR"/>
        </w:rPr>
        <w:t>Para mais informações ver ZUANAZZI e STAMPE (2014).</w:t>
      </w:r>
    </w:p>
  </w:footnote>
  <w:footnote w:id="7">
    <w:p w14:paraId="17006538" w14:textId="77777777" w:rsidR="00B47747" w:rsidRPr="00A4039A" w:rsidRDefault="00B47747" w:rsidP="008B1B67">
      <w:pPr>
        <w:pStyle w:val="Textodenotaderodap"/>
        <w:jc w:val="both"/>
        <w:rPr>
          <w:rFonts w:ascii="Gill Sans MT" w:hAnsi="Gill Sans MT"/>
          <w:lang w:val="pt-BR"/>
        </w:rPr>
      </w:pPr>
      <w:r w:rsidRPr="00A4039A">
        <w:rPr>
          <w:rStyle w:val="Refdenotaderodap"/>
          <w:rFonts w:ascii="Gill Sans MT" w:hAnsi="Gill Sans MT"/>
        </w:rPr>
        <w:footnoteRef/>
      </w:r>
      <w:r w:rsidRPr="00A4039A">
        <w:rPr>
          <w:rFonts w:ascii="Gill Sans MT" w:hAnsi="Gill Sans MT"/>
        </w:rPr>
        <w:t xml:space="preserve"> Para  exemplificar  algumas:  a  Constituição  Federal  determina  25%  da  Receita  Líquida  de  Impostos  e Transferência  (RLIT) para a Educação;  já a Constituição Estadual prescreve 35,0%. A Constituição Federal determina 12,0  da  RLIT  para  a  Saúde;  já  a  Constituição  Estadual  prescreve  10,0%  da  Receita  Tributária  Líquida  (RTL).  Entre tantas  outras,  há  a  obrigação  constitucional  de  aplicar  1,5%  da  Receita  Líquida  de  Impostos  Próprios  (RLIP)  para  o Fomento ao Ensino e à Pesquisa científica e Tecnológica e 0,5% da RLIP para o Ensino Superior Comunitário. Ainda, há o dever legal de vincular 1,5% da RCL ao pagamento de precatórios e 1,5% da RCL ao pagamento de RPVs. Ademais, 13,0% da Receita Líquida Real (RLR) para o pagamento da dívida intralimite com a União (PLOA, 2016 pg 78).</w:t>
      </w:r>
    </w:p>
  </w:footnote>
  <w:footnote w:id="8">
    <w:p w14:paraId="0537D124" w14:textId="77777777" w:rsidR="00B47747" w:rsidRPr="00A4039A" w:rsidRDefault="00B47747">
      <w:pPr>
        <w:pStyle w:val="Textodenotaderodap"/>
        <w:rPr>
          <w:rFonts w:ascii="Gill Sans MT" w:hAnsi="Gill Sans MT"/>
          <w:lang w:val="pt-BR"/>
        </w:rPr>
      </w:pPr>
      <w:r w:rsidRPr="00A4039A">
        <w:rPr>
          <w:rStyle w:val="Refdenotaderodap"/>
          <w:rFonts w:ascii="Gill Sans MT" w:hAnsi="Gill Sans MT"/>
        </w:rPr>
        <w:footnoteRef/>
      </w:r>
      <w:r w:rsidRPr="00A4039A">
        <w:rPr>
          <w:rFonts w:ascii="Gill Sans MT" w:hAnsi="Gill Sans MT"/>
        </w:rPr>
        <w:t xml:space="preserve"> </w:t>
      </w:r>
      <w:r w:rsidRPr="00A4039A">
        <w:rPr>
          <w:rFonts w:ascii="Gill Sans MT" w:hAnsi="Gill Sans MT"/>
          <w:lang w:val="pt-BR"/>
        </w:rPr>
        <w:t xml:space="preserve">Para detalhes, ver </w:t>
      </w:r>
      <w:proofErr w:type="spellStart"/>
      <w:r w:rsidRPr="00A4039A">
        <w:rPr>
          <w:rFonts w:ascii="Gill Sans MT" w:hAnsi="Gill Sans MT"/>
          <w:lang w:val="pt-BR"/>
        </w:rPr>
        <w:t>Gobetti</w:t>
      </w:r>
      <w:proofErr w:type="spellEnd"/>
      <w:r w:rsidRPr="00A4039A">
        <w:rPr>
          <w:rFonts w:ascii="Gill Sans MT" w:hAnsi="Gill Sans MT"/>
          <w:lang w:val="pt-BR"/>
        </w:rPr>
        <w:t>, 2015.</w:t>
      </w:r>
    </w:p>
  </w:footnote>
  <w:footnote w:id="9">
    <w:p w14:paraId="495F039B" w14:textId="2BC01DBD" w:rsidR="00B47747" w:rsidRPr="00A4039A" w:rsidRDefault="00B47747" w:rsidP="00EB3395">
      <w:pPr>
        <w:pStyle w:val="Textodenotaderodap"/>
        <w:rPr>
          <w:rFonts w:ascii="Gill Sans MT" w:hAnsi="Gill Sans MT"/>
          <w:lang w:val="pt-BR"/>
        </w:rPr>
      </w:pPr>
      <w:r w:rsidRPr="00A4039A">
        <w:rPr>
          <w:rStyle w:val="Refdenotaderodap"/>
          <w:rFonts w:ascii="Gill Sans MT" w:hAnsi="Gill Sans MT"/>
        </w:rPr>
        <w:footnoteRef/>
      </w:r>
      <w:r w:rsidRPr="00A4039A">
        <w:rPr>
          <w:rFonts w:ascii="Gill Sans MT" w:hAnsi="Gill Sans MT"/>
        </w:rPr>
        <w:t xml:space="preserve"> </w:t>
      </w:r>
      <w:r w:rsidRPr="00A4039A">
        <w:rPr>
          <w:rFonts w:ascii="Gill Sans MT" w:hAnsi="Gill Sans MT"/>
          <w:lang w:val="pt-BR"/>
        </w:rPr>
        <w:t xml:space="preserve">Para mais informações ver </w:t>
      </w:r>
      <w:hyperlink r:id="rId1" w:history="1">
        <w:r w:rsidR="0071110D" w:rsidRPr="005C5221">
          <w:rPr>
            <w:rStyle w:val="Hyperlink"/>
            <w:rFonts w:ascii="Gill Sans MT" w:hAnsi="Gill Sans MT"/>
            <w:lang w:val="pt-BR"/>
          </w:rPr>
          <w:t>http://economia.estadao.com.br/noticias/geral,os-desafios-para-sair-da-rise,1761199</w:t>
        </w:r>
      </w:hyperlink>
    </w:p>
  </w:footnote>
  <w:footnote w:id="10">
    <w:p w14:paraId="7F1C2ED5" w14:textId="78766709" w:rsidR="001448B4" w:rsidRPr="00842D61" w:rsidRDefault="001448B4" w:rsidP="00842D61">
      <w:pPr>
        <w:pStyle w:val="Textodenotaderodap"/>
        <w:jc w:val="both"/>
        <w:rPr>
          <w:rFonts w:ascii="Gill Sans MT" w:hAnsi="Gill Sans MT"/>
          <w:lang w:val="pt-BR"/>
        </w:rPr>
      </w:pPr>
      <w:r w:rsidRPr="00842D61">
        <w:rPr>
          <w:rStyle w:val="Refdenotaderodap"/>
          <w:rFonts w:ascii="Gill Sans MT" w:hAnsi="Gill Sans MT"/>
        </w:rPr>
        <w:footnoteRef/>
      </w:r>
      <w:r w:rsidRPr="00842D61">
        <w:rPr>
          <w:rFonts w:ascii="Gill Sans MT" w:hAnsi="Gill Sans MT"/>
        </w:rPr>
        <w:t xml:space="preserve"> </w:t>
      </w:r>
      <w:r w:rsidR="00842D61" w:rsidRPr="00842D61">
        <w:rPr>
          <w:rFonts w:ascii="Gill Sans MT" w:hAnsi="Gill Sans MT"/>
          <w:lang w:val="pt-BR"/>
        </w:rPr>
        <w:t xml:space="preserve">No decorrer da elaboração deste </w:t>
      </w:r>
      <w:r w:rsidR="00842D61" w:rsidRPr="005073E4">
        <w:rPr>
          <w:rFonts w:ascii="Gill Sans MT" w:hAnsi="Gill Sans MT"/>
          <w:i/>
          <w:lang w:val="pt-BR"/>
        </w:rPr>
        <w:t>paper</w:t>
      </w:r>
      <w:r w:rsidR="00842D61" w:rsidRPr="00842D61">
        <w:rPr>
          <w:rFonts w:ascii="Gill Sans MT" w:hAnsi="Gill Sans MT"/>
          <w:lang w:val="pt-BR"/>
        </w:rPr>
        <w:t>, a União propôs, nesse sentido, o</w:t>
      </w:r>
      <w:r w:rsidR="00842D61">
        <w:rPr>
          <w:rFonts w:ascii="Gill Sans MT" w:hAnsi="Gill Sans MT"/>
          <w:lang w:val="pt-BR"/>
        </w:rPr>
        <w:t xml:space="preserve"> </w:t>
      </w:r>
      <w:r w:rsidR="00842D61" w:rsidRPr="00842D61">
        <w:rPr>
          <w:rFonts w:ascii="Gill Sans MT" w:hAnsi="Gill Sans MT"/>
          <w:lang w:val="pt-BR"/>
        </w:rPr>
        <w:t>qu</w:t>
      </w:r>
      <w:r w:rsidR="00842D61">
        <w:rPr>
          <w:rFonts w:ascii="Gill Sans MT" w:hAnsi="Gill Sans MT"/>
          <w:lang w:val="pt-BR"/>
        </w:rPr>
        <w:t>e</w:t>
      </w:r>
      <w:r w:rsidR="00842D61" w:rsidRPr="00842D61">
        <w:rPr>
          <w:rFonts w:ascii="Gill Sans MT" w:hAnsi="Gill Sans MT"/>
          <w:lang w:val="pt-BR"/>
        </w:rPr>
        <w:t xml:space="preserve"> o ministro da Fazenda denominou de </w:t>
      </w:r>
      <w:r w:rsidR="00A43982">
        <w:rPr>
          <w:rFonts w:ascii="Gill Sans MT" w:hAnsi="Gill Sans MT"/>
          <w:lang w:val="pt-BR"/>
        </w:rPr>
        <w:t>“</w:t>
      </w:r>
      <w:r w:rsidR="00842D61" w:rsidRPr="00842D61">
        <w:rPr>
          <w:rFonts w:ascii="Gill Sans MT" w:hAnsi="Gill Sans MT"/>
          <w:lang w:val="pt-BR"/>
        </w:rPr>
        <w:t>nominalismo</w:t>
      </w:r>
      <w:r w:rsidR="00A43982">
        <w:rPr>
          <w:rFonts w:ascii="Gill Sans MT" w:hAnsi="Gill Sans MT"/>
          <w:lang w:val="pt-BR"/>
        </w:rPr>
        <w:t>”</w:t>
      </w:r>
      <w:r w:rsidR="00842D61" w:rsidRPr="00842D61">
        <w:rPr>
          <w:rFonts w:ascii="Gill Sans MT" w:hAnsi="Gill Sans MT"/>
          <w:lang w:val="pt-BR"/>
        </w:rPr>
        <w:t>. Nesse sistema, o gasto público da União e possivelmente dos estados será reajustado no ano seguinte pela inflaç</w:t>
      </w:r>
      <w:r w:rsidR="00A43982">
        <w:rPr>
          <w:rFonts w:ascii="Gill Sans MT" w:hAnsi="Gill Sans MT"/>
          <w:lang w:val="pt-BR"/>
        </w:rPr>
        <w:t>ão acumulada no ano anterior, garantindo dessa maneira que o crescimento real da receita seja utilizado para diminuir a relação dívida/PIB, que neste momento se mostra insustentável. Tal regra não trata as diversas vinculações de despesa hoje existentes, o que deverá ser feito após a aprovação da PEC, haja vista que muitas delas são estabelecidas em regras infraconstitucionais.</w:t>
      </w:r>
    </w:p>
  </w:footnote>
  <w:footnote w:id="11">
    <w:p w14:paraId="5D1A2D9E" w14:textId="77777777" w:rsidR="00B47747" w:rsidRPr="00A4039A" w:rsidRDefault="00B47747">
      <w:pPr>
        <w:pStyle w:val="Textodenotaderodap"/>
        <w:jc w:val="both"/>
        <w:rPr>
          <w:rFonts w:ascii="Gill Sans MT" w:hAnsi="Gill Sans MT"/>
          <w:lang w:val="pt-BR"/>
        </w:rPr>
      </w:pPr>
      <w:r w:rsidRPr="00A4039A">
        <w:rPr>
          <w:rStyle w:val="Refdenotaderodap"/>
          <w:rFonts w:ascii="Gill Sans MT" w:hAnsi="Gill Sans MT"/>
        </w:rPr>
        <w:footnoteRef/>
      </w:r>
      <w:r w:rsidRPr="00A4039A">
        <w:rPr>
          <w:rFonts w:ascii="Gill Sans MT" w:hAnsi="Gill Sans MT"/>
        </w:rPr>
        <w:t xml:space="preserve"> </w:t>
      </w:r>
      <w:r w:rsidRPr="00A4039A">
        <w:rPr>
          <w:rFonts w:ascii="Gill Sans MT" w:hAnsi="Gill Sans MT"/>
          <w:lang w:val="pt-BR"/>
        </w:rPr>
        <w:t>Há na literatura conceitos mais amplos, porém com resultados semelhantes em termos de tendência, como Capacidade de Investir com Recursos Próprios = Rec. Correntes (-) Desp. Correntes (-) Amortizações (-) Inv. Financeiras (</w:t>
      </w:r>
      <w:proofErr w:type="spellStart"/>
      <w:r w:rsidRPr="00A4039A">
        <w:rPr>
          <w:rFonts w:ascii="Gill Sans MT" w:hAnsi="Gill Sans MT"/>
          <w:lang w:val="pt-BR"/>
        </w:rPr>
        <w:t>Finc</w:t>
      </w:r>
      <w:proofErr w:type="spellEnd"/>
      <w:r w:rsidRPr="00A4039A">
        <w:rPr>
          <w:rFonts w:ascii="Gill Sans MT" w:hAnsi="Gill Sans MT"/>
          <w:lang w:val="pt-BR"/>
        </w:rPr>
        <w:t>.)1 (-) Restos a pagar inscritos para despesas correntes (+) Restos a pagar cancelados para despesas correntes.</w:t>
      </w:r>
    </w:p>
  </w:footnote>
  <w:footnote w:id="12">
    <w:p w14:paraId="67A92219" w14:textId="1D9646B2" w:rsidR="00B47747" w:rsidRPr="001952A9" w:rsidRDefault="00B47747" w:rsidP="001952A9">
      <w:pPr>
        <w:pStyle w:val="Textodenotaderodap"/>
        <w:jc w:val="both"/>
        <w:rPr>
          <w:rFonts w:ascii="Gill Sans MT" w:hAnsi="Gill Sans MT"/>
          <w:lang w:val="pt-BR"/>
        </w:rPr>
      </w:pPr>
      <w:r w:rsidRPr="001952A9">
        <w:rPr>
          <w:rStyle w:val="Refdenotaderodap"/>
          <w:rFonts w:ascii="Gill Sans MT" w:hAnsi="Gill Sans MT"/>
        </w:rPr>
        <w:footnoteRef/>
      </w:r>
      <w:r w:rsidRPr="001952A9">
        <w:rPr>
          <w:rFonts w:ascii="Gill Sans MT" w:hAnsi="Gill Sans MT"/>
        </w:rPr>
        <w:t xml:space="preserve"> </w:t>
      </w:r>
      <w:r w:rsidRPr="001952A9">
        <w:rPr>
          <w:rFonts w:ascii="Gill Sans MT" w:hAnsi="Gill Sans MT"/>
          <w:lang w:val="pt-BR"/>
        </w:rPr>
        <w:t>Poder-se-ia utilizar além do PIB estadual, a RCL ou ainda as receitas primárias para a elaboração desse indicador.</w:t>
      </w:r>
      <w:r w:rsidR="00247FA1">
        <w:rPr>
          <w:rFonts w:ascii="Gill Sans MT" w:hAnsi="Gill Sans MT"/>
          <w:lang w:val="pt-BR"/>
        </w:rPr>
        <w:t xml:space="preserve"> Utilizou-se o PIB pela informação importante que ele traz sobre a economia do estado</w:t>
      </w:r>
      <w:r w:rsidR="000A01D1">
        <w:rPr>
          <w:rFonts w:ascii="Gill Sans MT" w:hAnsi="Gill Sans MT"/>
          <w:lang w:val="pt-BR"/>
        </w:rPr>
        <w:t xml:space="preserve"> (a base da arrecadação tributária estadual)</w:t>
      </w:r>
      <w:r w:rsidR="00247FA1">
        <w:rPr>
          <w:rFonts w:ascii="Gill Sans MT" w:hAnsi="Gill Sans MT"/>
          <w:lang w:val="pt-BR"/>
        </w:rPr>
        <w:t>, e pela facilidade em possíveis comparações.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01E46"/>
    <w:multiLevelType w:val="multilevel"/>
    <w:tmpl w:val="6EF42876"/>
    <w:lvl w:ilvl="0">
      <w:start w:val="1"/>
      <w:numFmt w:val="decimal"/>
      <w:lvlText w:val="%1."/>
      <w:lvlJc w:val="left"/>
      <w:pPr>
        <w:ind w:left="720" w:hanging="360"/>
      </w:pPr>
      <w:rPr>
        <w:rFonts w:hint="default"/>
        <w:b/>
        <w:sz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C847616"/>
    <w:multiLevelType w:val="hybridMultilevel"/>
    <w:tmpl w:val="ED6855D2"/>
    <w:lvl w:ilvl="0" w:tplc="E542A69C">
      <w:start w:val="1"/>
      <w:numFmt w:val="decimal"/>
      <w:lvlText w:val="%1."/>
      <w:lvlJc w:val="left"/>
      <w:pPr>
        <w:tabs>
          <w:tab w:val="num" w:pos="720"/>
        </w:tabs>
        <w:ind w:left="720" w:hanging="360"/>
      </w:pPr>
    </w:lvl>
    <w:lvl w:ilvl="1" w:tplc="3C2CC14C" w:tentative="1">
      <w:start w:val="1"/>
      <w:numFmt w:val="decimal"/>
      <w:lvlText w:val="%2."/>
      <w:lvlJc w:val="left"/>
      <w:pPr>
        <w:tabs>
          <w:tab w:val="num" w:pos="1440"/>
        </w:tabs>
        <w:ind w:left="1440" w:hanging="360"/>
      </w:pPr>
    </w:lvl>
    <w:lvl w:ilvl="2" w:tplc="2B688522" w:tentative="1">
      <w:start w:val="1"/>
      <w:numFmt w:val="decimal"/>
      <w:lvlText w:val="%3."/>
      <w:lvlJc w:val="left"/>
      <w:pPr>
        <w:tabs>
          <w:tab w:val="num" w:pos="2160"/>
        </w:tabs>
        <w:ind w:left="2160" w:hanging="360"/>
      </w:pPr>
    </w:lvl>
    <w:lvl w:ilvl="3" w:tplc="F252CC08" w:tentative="1">
      <w:start w:val="1"/>
      <w:numFmt w:val="decimal"/>
      <w:lvlText w:val="%4."/>
      <w:lvlJc w:val="left"/>
      <w:pPr>
        <w:tabs>
          <w:tab w:val="num" w:pos="2880"/>
        </w:tabs>
        <w:ind w:left="2880" w:hanging="360"/>
      </w:pPr>
    </w:lvl>
    <w:lvl w:ilvl="4" w:tplc="0D024D28" w:tentative="1">
      <w:start w:val="1"/>
      <w:numFmt w:val="decimal"/>
      <w:lvlText w:val="%5."/>
      <w:lvlJc w:val="left"/>
      <w:pPr>
        <w:tabs>
          <w:tab w:val="num" w:pos="3600"/>
        </w:tabs>
        <w:ind w:left="3600" w:hanging="360"/>
      </w:pPr>
    </w:lvl>
    <w:lvl w:ilvl="5" w:tplc="5B66B0BA" w:tentative="1">
      <w:start w:val="1"/>
      <w:numFmt w:val="decimal"/>
      <w:lvlText w:val="%6."/>
      <w:lvlJc w:val="left"/>
      <w:pPr>
        <w:tabs>
          <w:tab w:val="num" w:pos="4320"/>
        </w:tabs>
        <w:ind w:left="4320" w:hanging="360"/>
      </w:pPr>
    </w:lvl>
    <w:lvl w:ilvl="6" w:tplc="621412DC" w:tentative="1">
      <w:start w:val="1"/>
      <w:numFmt w:val="decimal"/>
      <w:lvlText w:val="%7."/>
      <w:lvlJc w:val="left"/>
      <w:pPr>
        <w:tabs>
          <w:tab w:val="num" w:pos="5040"/>
        </w:tabs>
        <w:ind w:left="5040" w:hanging="360"/>
      </w:pPr>
    </w:lvl>
    <w:lvl w:ilvl="7" w:tplc="066CC16A" w:tentative="1">
      <w:start w:val="1"/>
      <w:numFmt w:val="decimal"/>
      <w:lvlText w:val="%8."/>
      <w:lvlJc w:val="left"/>
      <w:pPr>
        <w:tabs>
          <w:tab w:val="num" w:pos="5760"/>
        </w:tabs>
        <w:ind w:left="5760" w:hanging="360"/>
      </w:pPr>
    </w:lvl>
    <w:lvl w:ilvl="8" w:tplc="7F80F366" w:tentative="1">
      <w:start w:val="1"/>
      <w:numFmt w:val="decimal"/>
      <w:lvlText w:val="%9."/>
      <w:lvlJc w:val="left"/>
      <w:pPr>
        <w:tabs>
          <w:tab w:val="num" w:pos="6480"/>
        </w:tabs>
        <w:ind w:left="6480" w:hanging="360"/>
      </w:pPr>
    </w:lvl>
  </w:abstractNum>
  <w:abstractNum w:abstractNumId="2" w15:restartNumberingAfterBreak="0">
    <w:nsid w:val="30655218"/>
    <w:multiLevelType w:val="multilevel"/>
    <w:tmpl w:val="6EF42876"/>
    <w:lvl w:ilvl="0">
      <w:start w:val="1"/>
      <w:numFmt w:val="decimal"/>
      <w:lvlText w:val="%1."/>
      <w:lvlJc w:val="left"/>
      <w:pPr>
        <w:ind w:left="720" w:hanging="360"/>
      </w:pPr>
      <w:rPr>
        <w:rFonts w:hint="default"/>
        <w:b/>
        <w:sz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1CB06FE"/>
    <w:multiLevelType w:val="multilevel"/>
    <w:tmpl w:val="6EF42876"/>
    <w:lvl w:ilvl="0">
      <w:start w:val="1"/>
      <w:numFmt w:val="decimal"/>
      <w:lvlText w:val="%1."/>
      <w:lvlJc w:val="left"/>
      <w:pPr>
        <w:ind w:left="720" w:hanging="360"/>
      </w:pPr>
      <w:rPr>
        <w:rFonts w:hint="default"/>
        <w:b/>
        <w:sz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2011D18"/>
    <w:multiLevelType w:val="hybridMultilevel"/>
    <w:tmpl w:val="D1D45020"/>
    <w:lvl w:ilvl="0" w:tplc="40B8347A">
      <w:start w:val="3"/>
      <w:numFmt w:val="decimal"/>
      <w:lvlText w:val="%1."/>
      <w:lvlJc w:val="left"/>
      <w:pPr>
        <w:tabs>
          <w:tab w:val="num" w:pos="720"/>
        </w:tabs>
        <w:ind w:left="720" w:hanging="360"/>
      </w:pPr>
    </w:lvl>
    <w:lvl w:ilvl="1" w:tplc="80DACF2C" w:tentative="1">
      <w:start w:val="1"/>
      <w:numFmt w:val="decimal"/>
      <w:lvlText w:val="%2."/>
      <w:lvlJc w:val="left"/>
      <w:pPr>
        <w:tabs>
          <w:tab w:val="num" w:pos="1440"/>
        </w:tabs>
        <w:ind w:left="1440" w:hanging="360"/>
      </w:pPr>
    </w:lvl>
    <w:lvl w:ilvl="2" w:tplc="88709A2E" w:tentative="1">
      <w:start w:val="1"/>
      <w:numFmt w:val="decimal"/>
      <w:lvlText w:val="%3."/>
      <w:lvlJc w:val="left"/>
      <w:pPr>
        <w:tabs>
          <w:tab w:val="num" w:pos="2160"/>
        </w:tabs>
        <w:ind w:left="2160" w:hanging="360"/>
      </w:pPr>
    </w:lvl>
    <w:lvl w:ilvl="3" w:tplc="43800B08" w:tentative="1">
      <w:start w:val="1"/>
      <w:numFmt w:val="decimal"/>
      <w:lvlText w:val="%4."/>
      <w:lvlJc w:val="left"/>
      <w:pPr>
        <w:tabs>
          <w:tab w:val="num" w:pos="2880"/>
        </w:tabs>
        <w:ind w:left="2880" w:hanging="360"/>
      </w:pPr>
    </w:lvl>
    <w:lvl w:ilvl="4" w:tplc="A04C121A" w:tentative="1">
      <w:start w:val="1"/>
      <w:numFmt w:val="decimal"/>
      <w:lvlText w:val="%5."/>
      <w:lvlJc w:val="left"/>
      <w:pPr>
        <w:tabs>
          <w:tab w:val="num" w:pos="3600"/>
        </w:tabs>
        <w:ind w:left="3600" w:hanging="360"/>
      </w:pPr>
    </w:lvl>
    <w:lvl w:ilvl="5" w:tplc="C84E0E8C" w:tentative="1">
      <w:start w:val="1"/>
      <w:numFmt w:val="decimal"/>
      <w:lvlText w:val="%6."/>
      <w:lvlJc w:val="left"/>
      <w:pPr>
        <w:tabs>
          <w:tab w:val="num" w:pos="4320"/>
        </w:tabs>
        <w:ind w:left="4320" w:hanging="360"/>
      </w:pPr>
    </w:lvl>
    <w:lvl w:ilvl="6" w:tplc="52AE5E56" w:tentative="1">
      <w:start w:val="1"/>
      <w:numFmt w:val="decimal"/>
      <w:lvlText w:val="%7."/>
      <w:lvlJc w:val="left"/>
      <w:pPr>
        <w:tabs>
          <w:tab w:val="num" w:pos="5040"/>
        </w:tabs>
        <w:ind w:left="5040" w:hanging="360"/>
      </w:pPr>
    </w:lvl>
    <w:lvl w:ilvl="7" w:tplc="9070B2F0" w:tentative="1">
      <w:start w:val="1"/>
      <w:numFmt w:val="decimal"/>
      <w:lvlText w:val="%8."/>
      <w:lvlJc w:val="left"/>
      <w:pPr>
        <w:tabs>
          <w:tab w:val="num" w:pos="5760"/>
        </w:tabs>
        <w:ind w:left="5760" w:hanging="360"/>
      </w:pPr>
    </w:lvl>
    <w:lvl w:ilvl="8" w:tplc="42F63FDA" w:tentative="1">
      <w:start w:val="1"/>
      <w:numFmt w:val="decimal"/>
      <w:lvlText w:val="%9."/>
      <w:lvlJc w:val="left"/>
      <w:pPr>
        <w:tabs>
          <w:tab w:val="num" w:pos="6480"/>
        </w:tabs>
        <w:ind w:left="6480" w:hanging="360"/>
      </w:pPr>
    </w:lvl>
  </w:abstractNum>
  <w:abstractNum w:abstractNumId="5" w15:restartNumberingAfterBreak="0">
    <w:nsid w:val="37DE06D7"/>
    <w:multiLevelType w:val="multilevel"/>
    <w:tmpl w:val="6EF42876"/>
    <w:lvl w:ilvl="0">
      <w:start w:val="1"/>
      <w:numFmt w:val="decimal"/>
      <w:lvlText w:val="%1."/>
      <w:lvlJc w:val="left"/>
      <w:pPr>
        <w:ind w:left="720" w:hanging="360"/>
      </w:pPr>
      <w:rPr>
        <w:rFonts w:hint="default"/>
        <w:b/>
        <w:sz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42751F8"/>
    <w:multiLevelType w:val="hybridMultilevel"/>
    <w:tmpl w:val="DC4E1FCA"/>
    <w:lvl w:ilvl="0" w:tplc="F0208294">
      <w:start w:val="1"/>
      <w:numFmt w:val="decimal"/>
      <w:lvlText w:val="%1."/>
      <w:lvlJc w:val="left"/>
      <w:pPr>
        <w:ind w:left="720" w:hanging="360"/>
      </w:pPr>
      <w:rPr>
        <w:rFonts w:hint="default"/>
        <w:b/>
        <w:sz w:val="3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BA550D3"/>
    <w:multiLevelType w:val="multilevel"/>
    <w:tmpl w:val="79F8BA5E"/>
    <w:lvl w:ilvl="0">
      <w:start w:val="1"/>
      <w:numFmt w:val="decimal"/>
      <w:lvlText w:val="%1."/>
      <w:lvlJc w:val="left"/>
      <w:pPr>
        <w:ind w:left="720" w:hanging="360"/>
      </w:pPr>
      <w:rPr>
        <w:rFonts w:hint="default"/>
        <w:b/>
        <w:sz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8DE1095"/>
    <w:multiLevelType w:val="multilevel"/>
    <w:tmpl w:val="6EF42876"/>
    <w:lvl w:ilvl="0">
      <w:start w:val="1"/>
      <w:numFmt w:val="decimal"/>
      <w:lvlText w:val="%1."/>
      <w:lvlJc w:val="left"/>
      <w:pPr>
        <w:ind w:left="720" w:hanging="360"/>
      </w:pPr>
      <w:rPr>
        <w:rFonts w:hint="default"/>
        <w:b/>
        <w:sz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E021231"/>
    <w:multiLevelType w:val="hybridMultilevel"/>
    <w:tmpl w:val="8F147E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2C4908"/>
    <w:multiLevelType w:val="multilevel"/>
    <w:tmpl w:val="6EF42876"/>
    <w:lvl w:ilvl="0">
      <w:start w:val="1"/>
      <w:numFmt w:val="decimal"/>
      <w:lvlText w:val="%1."/>
      <w:lvlJc w:val="left"/>
      <w:pPr>
        <w:ind w:left="720" w:hanging="360"/>
      </w:pPr>
      <w:rPr>
        <w:rFonts w:hint="default"/>
        <w:b/>
        <w:sz w:val="3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9"/>
  </w:num>
  <w:num w:numId="3">
    <w:abstractNumId w:val="7"/>
  </w:num>
  <w:num w:numId="4">
    <w:abstractNumId w:val="2"/>
  </w:num>
  <w:num w:numId="5">
    <w:abstractNumId w:val="0"/>
  </w:num>
  <w:num w:numId="6">
    <w:abstractNumId w:val="8"/>
  </w:num>
  <w:num w:numId="7">
    <w:abstractNumId w:val="5"/>
  </w:num>
  <w:num w:numId="8">
    <w:abstractNumId w:val="10"/>
  </w:num>
  <w:num w:numId="9">
    <w:abstractNumId w:val="1"/>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10"/>
    <w:rsid w:val="00002A31"/>
    <w:rsid w:val="00006A3F"/>
    <w:rsid w:val="00010481"/>
    <w:rsid w:val="00021B5D"/>
    <w:rsid w:val="000257BB"/>
    <w:rsid w:val="0003116D"/>
    <w:rsid w:val="00040CBA"/>
    <w:rsid w:val="000456B4"/>
    <w:rsid w:val="00055319"/>
    <w:rsid w:val="00056019"/>
    <w:rsid w:val="000649C5"/>
    <w:rsid w:val="00073E66"/>
    <w:rsid w:val="0008090E"/>
    <w:rsid w:val="0008725F"/>
    <w:rsid w:val="00094F37"/>
    <w:rsid w:val="00095C49"/>
    <w:rsid w:val="00096C12"/>
    <w:rsid w:val="000A01D1"/>
    <w:rsid w:val="000A3F10"/>
    <w:rsid w:val="000A4C33"/>
    <w:rsid w:val="000A6410"/>
    <w:rsid w:val="000C7035"/>
    <w:rsid w:val="000D4869"/>
    <w:rsid w:val="000E286D"/>
    <w:rsid w:val="000E7A95"/>
    <w:rsid w:val="000F6340"/>
    <w:rsid w:val="001021A2"/>
    <w:rsid w:val="0010481A"/>
    <w:rsid w:val="00106312"/>
    <w:rsid w:val="0012216B"/>
    <w:rsid w:val="0013566D"/>
    <w:rsid w:val="001432DC"/>
    <w:rsid w:val="001448B4"/>
    <w:rsid w:val="001455D0"/>
    <w:rsid w:val="0015001A"/>
    <w:rsid w:val="001507C7"/>
    <w:rsid w:val="00151788"/>
    <w:rsid w:val="00154F20"/>
    <w:rsid w:val="00184C69"/>
    <w:rsid w:val="00185F54"/>
    <w:rsid w:val="00190F4B"/>
    <w:rsid w:val="001941D2"/>
    <w:rsid w:val="001952A9"/>
    <w:rsid w:val="001A3474"/>
    <w:rsid w:val="001A5696"/>
    <w:rsid w:val="001B67F6"/>
    <w:rsid w:val="001C0AEC"/>
    <w:rsid w:val="001C6F76"/>
    <w:rsid w:val="001D1230"/>
    <w:rsid w:val="001D1EA6"/>
    <w:rsid w:val="001E5401"/>
    <w:rsid w:val="00222413"/>
    <w:rsid w:val="00223FEE"/>
    <w:rsid w:val="00224016"/>
    <w:rsid w:val="00227CB4"/>
    <w:rsid w:val="002444FD"/>
    <w:rsid w:val="00247FA1"/>
    <w:rsid w:val="00256E23"/>
    <w:rsid w:val="00261207"/>
    <w:rsid w:val="00261CA5"/>
    <w:rsid w:val="00285071"/>
    <w:rsid w:val="002B0730"/>
    <w:rsid w:val="002B1298"/>
    <w:rsid w:val="002C70D8"/>
    <w:rsid w:val="002C7FEC"/>
    <w:rsid w:val="002D16C9"/>
    <w:rsid w:val="002D6963"/>
    <w:rsid w:val="002E5656"/>
    <w:rsid w:val="00303AFA"/>
    <w:rsid w:val="00310FE0"/>
    <w:rsid w:val="00320936"/>
    <w:rsid w:val="003254A7"/>
    <w:rsid w:val="00325B12"/>
    <w:rsid w:val="00345164"/>
    <w:rsid w:val="00373925"/>
    <w:rsid w:val="00395975"/>
    <w:rsid w:val="00397DC6"/>
    <w:rsid w:val="003A3C4E"/>
    <w:rsid w:val="003B4FBA"/>
    <w:rsid w:val="003C3A09"/>
    <w:rsid w:val="003C3C90"/>
    <w:rsid w:val="003D44A0"/>
    <w:rsid w:val="003E2C66"/>
    <w:rsid w:val="003F0CE2"/>
    <w:rsid w:val="003F14D7"/>
    <w:rsid w:val="004015AE"/>
    <w:rsid w:val="00405B89"/>
    <w:rsid w:val="00432056"/>
    <w:rsid w:val="00433C3A"/>
    <w:rsid w:val="004348D5"/>
    <w:rsid w:val="00446896"/>
    <w:rsid w:val="00447D6D"/>
    <w:rsid w:val="0045636C"/>
    <w:rsid w:val="00464004"/>
    <w:rsid w:val="00464334"/>
    <w:rsid w:val="00467992"/>
    <w:rsid w:val="00481304"/>
    <w:rsid w:val="0048336A"/>
    <w:rsid w:val="00483D2D"/>
    <w:rsid w:val="00487497"/>
    <w:rsid w:val="004B16F8"/>
    <w:rsid w:val="004C0C0C"/>
    <w:rsid w:val="004E0C8B"/>
    <w:rsid w:val="00503152"/>
    <w:rsid w:val="00506F5E"/>
    <w:rsid w:val="005073E4"/>
    <w:rsid w:val="00521B8A"/>
    <w:rsid w:val="00525EDC"/>
    <w:rsid w:val="00532146"/>
    <w:rsid w:val="00546B48"/>
    <w:rsid w:val="005478EC"/>
    <w:rsid w:val="005558A3"/>
    <w:rsid w:val="00564411"/>
    <w:rsid w:val="00567495"/>
    <w:rsid w:val="005731DD"/>
    <w:rsid w:val="00574E37"/>
    <w:rsid w:val="00576C92"/>
    <w:rsid w:val="005771AA"/>
    <w:rsid w:val="005801D3"/>
    <w:rsid w:val="00580AE0"/>
    <w:rsid w:val="005848EE"/>
    <w:rsid w:val="00591D97"/>
    <w:rsid w:val="00592637"/>
    <w:rsid w:val="00596B41"/>
    <w:rsid w:val="005A1BE2"/>
    <w:rsid w:val="005A596E"/>
    <w:rsid w:val="005B39CE"/>
    <w:rsid w:val="005B7755"/>
    <w:rsid w:val="005D0E74"/>
    <w:rsid w:val="005D21AD"/>
    <w:rsid w:val="005D5B5C"/>
    <w:rsid w:val="005E1D75"/>
    <w:rsid w:val="005F6DD7"/>
    <w:rsid w:val="005F7371"/>
    <w:rsid w:val="00604A9B"/>
    <w:rsid w:val="00616DB7"/>
    <w:rsid w:val="00622629"/>
    <w:rsid w:val="0063753D"/>
    <w:rsid w:val="0064107E"/>
    <w:rsid w:val="006415BE"/>
    <w:rsid w:val="00650A5F"/>
    <w:rsid w:val="00653D92"/>
    <w:rsid w:val="00655EFA"/>
    <w:rsid w:val="00666B40"/>
    <w:rsid w:val="006707B4"/>
    <w:rsid w:val="0067314F"/>
    <w:rsid w:val="006734FD"/>
    <w:rsid w:val="00682108"/>
    <w:rsid w:val="006823EB"/>
    <w:rsid w:val="0068692B"/>
    <w:rsid w:val="006A6169"/>
    <w:rsid w:val="006B47CB"/>
    <w:rsid w:val="006C7C5A"/>
    <w:rsid w:val="006D78F3"/>
    <w:rsid w:val="006E1ED4"/>
    <w:rsid w:val="006E2898"/>
    <w:rsid w:val="006E7B92"/>
    <w:rsid w:val="00700B9D"/>
    <w:rsid w:val="007056E4"/>
    <w:rsid w:val="0071110D"/>
    <w:rsid w:val="00717E85"/>
    <w:rsid w:val="00720D5F"/>
    <w:rsid w:val="00723AB1"/>
    <w:rsid w:val="00737CD6"/>
    <w:rsid w:val="00740C73"/>
    <w:rsid w:val="00741A43"/>
    <w:rsid w:val="007461EA"/>
    <w:rsid w:val="0075696C"/>
    <w:rsid w:val="0077109E"/>
    <w:rsid w:val="007749CB"/>
    <w:rsid w:val="0078167A"/>
    <w:rsid w:val="007A4F66"/>
    <w:rsid w:val="007A6D76"/>
    <w:rsid w:val="007B0053"/>
    <w:rsid w:val="007B31A2"/>
    <w:rsid w:val="007D4945"/>
    <w:rsid w:val="00805C4E"/>
    <w:rsid w:val="00806CA7"/>
    <w:rsid w:val="00811FEB"/>
    <w:rsid w:val="00815F88"/>
    <w:rsid w:val="00816A69"/>
    <w:rsid w:val="00821D1D"/>
    <w:rsid w:val="0082351A"/>
    <w:rsid w:val="008409F3"/>
    <w:rsid w:val="00841D45"/>
    <w:rsid w:val="00842D61"/>
    <w:rsid w:val="00845F30"/>
    <w:rsid w:val="008462FE"/>
    <w:rsid w:val="00847C2F"/>
    <w:rsid w:val="00851F13"/>
    <w:rsid w:val="0085370B"/>
    <w:rsid w:val="00857E46"/>
    <w:rsid w:val="0086112E"/>
    <w:rsid w:val="00862475"/>
    <w:rsid w:val="008660A6"/>
    <w:rsid w:val="0087330E"/>
    <w:rsid w:val="00882975"/>
    <w:rsid w:val="00882F55"/>
    <w:rsid w:val="00883CEB"/>
    <w:rsid w:val="00884CD9"/>
    <w:rsid w:val="00895DCD"/>
    <w:rsid w:val="008A0708"/>
    <w:rsid w:val="008A21F4"/>
    <w:rsid w:val="008A5E37"/>
    <w:rsid w:val="008B1B67"/>
    <w:rsid w:val="008B3CA5"/>
    <w:rsid w:val="008C10CD"/>
    <w:rsid w:val="008C1918"/>
    <w:rsid w:val="008C1F88"/>
    <w:rsid w:val="008C43B6"/>
    <w:rsid w:val="008E7FE5"/>
    <w:rsid w:val="008F1162"/>
    <w:rsid w:val="009104D6"/>
    <w:rsid w:val="0091060C"/>
    <w:rsid w:val="00920FB9"/>
    <w:rsid w:val="009312F5"/>
    <w:rsid w:val="009329CF"/>
    <w:rsid w:val="00941E1F"/>
    <w:rsid w:val="00942549"/>
    <w:rsid w:val="00951CAC"/>
    <w:rsid w:val="00957E22"/>
    <w:rsid w:val="009650DE"/>
    <w:rsid w:val="00974C9A"/>
    <w:rsid w:val="00996A9C"/>
    <w:rsid w:val="009A2F79"/>
    <w:rsid w:val="009B406E"/>
    <w:rsid w:val="009C002D"/>
    <w:rsid w:val="009C583A"/>
    <w:rsid w:val="009D7737"/>
    <w:rsid w:val="009E0C95"/>
    <w:rsid w:val="009E10EA"/>
    <w:rsid w:val="009E1E57"/>
    <w:rsid w:val="009E30B3"/>
    <w:rsid w:val="00A01FA8"/>
    <w:rsid w:val="00A1139B"/>
    <w:rsid w:val="00A14CEF"/>
    <w:rsid w:val="00A23269"/>
    <w:rsid w:val="00A308B1"/>
    <w:rsid w:val="00A309FA"/>
    <w:rsid w:val="00A3455B"/>
    <w:rsid w:val="00A3505D"/>
    <w:rsid w:val="00A4039A"/>
    <w:rsid w:val="00A41ACD"/>
    <w:rsid w:val="00A42604"/>
    <w:rsid w:val="00A43982"/>
    <w:rsid w:val="00A532C3"/>
    <w:rsid w:val="00A56460"/>
    <w:rsid w:val="00A5688C"/>
    <w:rsid w:val="00A63C3B"/>
    <w:rsid w:val="00A73D6C"/>
    <w:rsid w:val="00A82627"/>
    <w:rsid w:val="00A848F8"/>
    <w:rsid w:val="00A86FC7"/>
    <w:rsid w:val="00A87C8F"/>
    <w:rsid w:val="00A87D06"/>
    <w:rsid w:val="00A907E0"/>
    <w:rsid w:val="00A937DD"/>
    <w:rsid w:val="00A93BE7"/>
    <w:rsid w:val="00AA11ED"/>
    <w:rsid w:val="00AB16D3"/>
    <w:rsid w:val="00AC6CDE"/>
    <w:rsid w:val="00AE1630"/>
    <w:rsid w:val="00AE7ECF"/>
    <w:rsid w:val="00AF4CB9"/>
    <w:rsid w:val="00AF7250"/>
    <w:rsid w:val="00B005F7"/>
    <w:rsid w:val="00B020C2"/>
    <w:rsid w:val="00B0377B"/>
    <w:rsid w:val="00B1187A"/>
    <w:rsid w:val="00B1190B"/>
    <w:rsid w:val="00B12FC1"/>
    <w:rsid w:val="00B2638D"/>
    <w:rsid w:val="00B41467"/>
    <w:rsid w:val="00B44561"/>
    <w:rsid w:val="00B457F4"/>
    <w:rsid w:val="00B47747"/>
    <w:rsid w:val="00B525E1"/>
    <w:rsid w:val="00B527A0"/>
    <w:rsid w:val="00B53809"/>
    <w:rsid w:val="00B560BC"/>
    <w:rsid w:val="00B61205"/>
    <w:rsid w:val="00B70239"/>
    <w:rsid w:val="00B70856"/>
    <w:rsid w:val="00B713E8"/>
    <w:rsid w:val="00B727EE"/>
    <w:rsid w:val="00B733F8"/>
    <w:rsid w:val="00B74CDF"/>
    <w:rsid w:val="00B87FA3"/>
    <w:rsid w:val="00B95324"/>
    <w:rsid w:val="00B95399"/>
    <w:rsid w:val="00BA3FCE"/>
    <w:rsid w:val="00BA45F7"/>
    <w:rsid w:val="00BA60BE"/>
    <w:rsid w:val="00BC4482"/>
    <w:rsid w:val="00BC7BA1"/>
    <w:rsid w:val="00BC7E95"/>
    <w:rsid w:val="00BE6444"/>
    <w:rsid w:val="00BF2CA1"/>
    <w:rsid w:val="00BF4331"/>
    <w:rsid w:val="00C3089D"/>
    <w:rsid w:val="00C361B6"/>
    <w:rsid w:val="00C41C68"/>
    <w:rsid w:val="00C47E7E"/>
    <w:rsid w:val="00C47FBC"/>
    <w:rsid w:val="00C50AFB"/>
    <w:rsid w:val="00C5268C"/>
    <w:rsid w:val="00C55EF7"/>
    <w:rsid w:val="00C74FD1"/>
    <w:rsid w:val="00C80098"/>
    <w:rsid w:val="00C917AD"/>
    <w:rsid w:val="00C91C1A"/>
    <w:rsid w:val="00CA1B31"/>
    <w:rsid w:val="00CA7FAC"/>
    <w:rsid w:val="00CB13E2"/>
    <w:rsid w:val="00CB1ED2"/>
    <w:rsid w:val="00CB3A45"/>
    <w:rsid w:val="00CB4612"/>
    <w:rsid w:val="00CC0651"/>
    <w:rsid w:val="00CC3224"/>
    <w:rsid w:val="00CC36CD"/>
    <w:rsid w:val="00CE0970"/>
    <w:rsid w:val="00CE244F"/>
    <w:rsid w:val="00CE3A42"/>
    <w:rsid w:val="00CF2A49"/>
    <w:rsid w:val="00D0049C"/>
    <w:rsid w:val="00D00AF2"/>
    <w:rsid w:val="00D02D52"/>
    <w:rsid w:val="00D034B6"/>
    <w:rsid w:val="00D31CC8"/>
    <w:rsid w:val="00D477A3"/>
    <w:rsid w:val="00D73536"/>
    <w:rsid w:val="00D76665"/>
    <w:rsid w:val="00D81AE6"/>
    <w:rsid w:val="00D83D98"/>
    <w:rsid w:val="00D8495A"/>
    <w:rsid w:val="00DA1ED8"/>
    <w:rsid w:val="00DB2968"/>
    <w:rsid w:val="00DB3CED"/>
    <w:rsid w:val="00DB55E0"/>
    <w:rsid w:val="00DC0D53"/>
    <w:rsid w:val="00DC7D44"/>
    <w:rsid w:val="00DD0056"/>
    <w:rsid w:val="00DD22F3"/>
    <w:rsid w:val="00DE5913"/>
    <w:rsid w:val="00DF034C"/>
    <w:rsid w:val="00DF0CA2"/>
    <w:rsid w:val="00DF6F31"/>
    <w:rsid w:val="00E0518B"/>
    <w:rsid w:val="00E05419"/>
    <w:rsid w:val="00E1730E"/>
    <w:rsid w:val="00E27F11"/>
    <w:rsid w:val="00E30935"/>
    <w:rsid w:val="00E33DC0"/>
    <w:rsid w:val="00E36FD3"/>
    <w:rsid w:val="00E41499"/>
    <w:rsid w:val="00E4461B"/>
    <w:rsid w:val="00E537DA"/>
    <w:rsid w:val="00E72A29"/>
    <w:rsid w:val="00E8354A"/>
    <w:rsid w:val="00E84EBB"/>
    <w:rsid w:val="00E86346"/>
    <w:rsid w:val="00E935AC"/>
    <w:rsid w:val="00EA3BFE"/>
    <w:rsid w:val="00EA57C3"/>
    <w:rsid w:val="00EB3395"/>
    <w:rsid w:val="00EB4D79"/>
    <w:rsid w:val="00EB54E5"/>
    <w:rsid w:val="00EB6344"/>
    <w:rsid w:val="00EC0D36"/>
    <w:rsid w:val="00EC4CD4"/>
    <w:rsid w:val="00ED18A8"/>
    <w:rsid w:val="00ED680F"/>
    <w:rsid w:val="00EE18C0"/>
    <w:rsid w:val="00EE27C6"/>
    <w:rsid w:val="00EF0031"/>
    <w:rsid w:val="00EF3331"/>
    <w:rsid w:val="00EF4D87"/>
    <w:rsid w:val="00F053D0"/>
    <w:rsid w:val="00F12A86"/>
    <w:rsid w:val="00F17BFF"/>
    <w:rsid w:val="00F40775"/>
    <w:rsid w:val="00F45CAC"/>
    <w:rsid w:val="00F51F67"/>
    <w:rsid w:val="00F548AB"/>
    <w:rsid w:val="00F5506A"/>
    <w:rsid w:val="00F5781A"/>
    <w:rsid w:val="00F57B49"/>
    <w:rsid w:val="00F61208"/>
    <w:rsid w:val="00F635D9"/>
    <w:rsid w:val="00F651BB"/>
    <w:rsid w:val="00F667F1"/>
    <w:rsid w:val="00F67464"/>
    <w:rsid w:val="00F71C3F"/>
    <w:rsid w:val="00FC3970"/>
    <w:rsid w:val="00FC4081"/>
    <w:rsid w:val="00FD03D5"/>
    <w:rsid w:val="00FD3189"/>
    <w:rsid w:val="00FD5CE4"/>
    <w:rsid w:val="00FE21D6"/>
    <w:rsid w:val="00FE6BCE"/>
    <w:rsid w:val="00FF2A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019A0"/>
  <w15:docId w15:val="{9900C851-53C5-4DC9-89D1-CF1D71E4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558A3"/>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5558A3"/>
    <w:pPr>
      <w:ind w:left="720"/>
      <w:contextualSpacing/>
    </w:pPr>
  </w:style>
  <w:style w:type="character" w:styleId="Refdenotaderodap">
    <w:name w:val="footnote reference"/>
    <w:basedOn w:val="Fontepargpadro"/>
    <w:semiHidden/>
    <w:rsid w:val="0091060C"/>
    <w:rPr>
      <w:vertAlign w:val="superscript"/>
    </w:rPr>
  </w:style>
  <w:style w:type="paragraph" w:styleId="Textodenotaderodap">
    <w:name w:val="footnote text"/>
    <w:aliases w:val="Texto de rodapé,nota_rodapé,nota de rodapé,Texto de rodapé1,Texto de rodapé2,Texto de rodapé3,Texto de rodapé4,Texto de rodapé5,Texto de rodapé6,Texto de rodapé7,Texto de rodapé8,Texto de rodapé9,Texto de rodapé10"/>
    <w:basedOn w:val="Normal"/>
    <w:link w:val="TextodenotaderodapChar"/>
    <w:semiHidden/>
    <w:rsid w:val="0091060C"/>
    <w:pPr>
      <w:suppressAutoHyphens/>
      <w:spacing w:after="0" w:line="240" w:lineRule="auto"/>
    </w:pPr>
    <w:rPr>
      <w:rFonts w:ascii="Times New Roman" w:eastAsia="Times New Roman" w:hAnsi="Times New Roman" w:cs="Times New Roman"/>
      <w:sz w:val="20"/>
      <w:szCs w:val="20"/>
      <w:lang w:val="fr-FR" w:eastAsia="fr-FR"/>
    </w:rPr>
  </w:style>
  <w:style w:type="character" w:customStyle="1" w:styleId="TextodenotaderodapChar">
    <w:name w:val="Texto de nota de rodapé Char"/>
    <w:aliases w:val="Texto de rodapé Char,nota_rodapé Char,nota de rodapé Char,Texto de rodapé1 Char,Texto de rodapé2 Char,Texto de rodapé3 Char,Texto de rodapé4 Char,Texto de rodapé5 Char,Texto de rodapé6 Char,Texto de rodapé7 Char"/>
    <w:basedOn w:val="Fontepargpadro"/>
    <w:link w:val="Textodenotaderodap"/>
    <w:uiPriority w:val="99"/>
    <w:semiHidden/>
    <w:rsid w:val="0091060C"/>
    <w:rPr>
      <w:rFonts w:ascii="Times New Roman" w:eastAsia="Times New Roman" w:hAnsi="Times New Roman" w:cs="Times New Roman"/>
      <w:sz w:val="20"/>
      <w:szCs w:val="20"/>
      <w:lang w:val="fr-FR" w:eastAsia="fr-FR"/>
    </w:rPr>
  </w:style>
  <w:style w:type="table" w:styleId="Tabelacomgrade">
    <w:name w:val="Table Grid"/>
    <w:basedOn w:val="Tabelanormal"/>
    <w:uiPriority w:val="39"/>
    <w:rsid w:val="001C0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730E"/>
    <w:rPr>
      <w:color w:val="0000FF"/>
      <w:u w:val="single"/>
    </w:rPr>
  </w:style>
  <w:style w:type="character" w:styleId="HiperlinkVisitado">
    <w:name w:val="FollowedHyperlink"/>
    <w:basedOn w:val="Fontepargpadro"/>
    <w:uiPriority w:val="99"/>
    <w:semiHidden/>
    <w:unhideWhenUsed/>
    <w:rsid w:val="000456B4"/>
    <w:rPr>
      <w:color w:val="954F72" w:themeColor="followedHyperlink"/>
      <w:u w:val="single"/>
    </w:rPr>
  </w:style>
  <w:style w:type="paragraph" w:styleId="Cabealho">
    <w:name w:val="header"/>
    <w:basedOn w:val="Normal"/>
    <w:link w:val="CabealhoChar"/>
    <w:uiPriority w:val="99"/>
    <w:unhideWhenUsed/>
    <w:rsid w:val="005F73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7371"/>
  </w:style>
  <w:style w:type="paragraph" w:styleId="Rodap">
    <w:name w:val="footer"/>
    <w:basedOn w:val="Normal"/>
    <w:link w:val="RodapChar"/>
    <w:uiPriority w:val="99"/>
    <w:unhideWhenUsed/>
    <w:rsid w:val="005F7371"/>
    <w:pPr>
      <w:tabs>
        <w:tab w:val="center" w:pos="4252"/>
        <w:tab w:val="right" w:pos="8504"/>
      </w:tabs>
      <w:spacing w:after="0" w:line="240" w:lineRule="auto"/>
    </w:pPr>
  </w:style>
  <w:style w:type="character" w:customStyle="1" w:styleId="RodapChar">
    <w:name w:val="Rodapé Char"/>
    <w:basedOn w:val="Fontepargpadro"/>
    <w:link w:val="Rodap"/>
    <w:uiPriority w:val="99"/>
    <w:rsid w:val="005F7371"/>
  </w:style>
  <w:style w:type="paragraph" w:styleId="Parteinferiordoformulrio">
    <w:name w:val="HTML Bottom of Form"/>
    <w:basedOn w:val="Normal"/>
    <w:next w:val="Normal"/>
    <w:link w:val="ParteinferiordoformulrioChar"/>
    <w:hidden/>
    <w:uiPriority w:val="99"/>
    <w:semiHidden/>
    <w:unhideWhenUsed/>
    <w:rsid w:val="00D477A3"/>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D477A3"/>
    <w:rPr>
      <w:rFonts w:ascii="Arial" w:eastAsia="Times New Roman" w:hAnsi="Arial" w:cs="Arial"/>
      <w:vanish/>
      <w:sz w:val="16"/>
      <w:szCs w:val="16"/>
      <w:lang w:eastAsia="pt-BR"/>
    </w:rPr>
  </w:style>
  <w:style w:type="paragraph" w:styleId="SemEspaamento">
    <w:name w:val="No Spacing"/>
    <w:uiPriority w:val="1"/>
    <w:qFormat/>
    <w:rsid w:val="00806CA7"/>
    <w:pPr>
      <w:spacing w:after="0" w:line="240" w:lineRule="auto"/>
    </w:pPr>
  </w:style>
  <w:style w:type="paragraph" w:styleId="Textodebalo">
    <w:name w:val="Balloon Text"/>
    <w:basedOn w:val="Normal"/>
    <w:link w:val="TextodebaloChar"/>
    <w:uiPriority w:val="99"/>
    <w:semiHidden/>
    <w:unhideWhenUsed/>
    <w:rsid w:val="00F053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53D0"/>
    <w:rPr>
      <w:rFonts w:ascii="Tahoma" w:hAnsi="Tahoma" w:cs="Tahoma"/>
      <w:sz w:val="16"/>
      <w:szCs w:val="16"/>
    </w:rPr>
  </w:style>
  <w:style w:type="character" w:styleId="Refdecomentrio">
    <w:name w:val="annotation reference"/>
    <w:basedOn w:val="Fontepargpadro"/>
    <w:uiPriority w:val="99"/>
    <w:semiHidden/>
    <w:unhideWhenUsed/>
    <w:rsid w:val="00DF034C"/>
    <w:rPr>
      <w:sz w:val="16"/>
      <w:szCs w:val="16"/>
    </w:rPr>
  </w:style>
  <w:style w:type="paragraph" w:styleId="Textodecomentrio">
    <w:name w:val="annotation text"/>
    <w:basedOn w:val="Normal"/>
    <w:link w:val="TextodecomentrioChar"/>
    <w:uiPriority w:val="99"/>
    <w:semiHidden/>
    <w:unhideWhenUsed/>
    <w:rsid w:val="00DF034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034C"/>
    <w:rPr>
      <w:sz w:val="20"/>
      <w:szCs w:val="20"/>
    </w:rPr>
  </w:style>
  <w:style w:type="paragraph" w:styleId="Assuntodocomentrio">
    <w:name w:val="annotation subject"/>
    <w:basedOn w:val="Textodecomentrio"/>
    <w:next w:val="Textodecomentrio"/>
    <w:link w:val="AssuntodocomentrioChar"/>
    <w:uiPriority w:val="99"/>
    <w:semiHidden/>
    <w:unhideWhenUsed/>
    <w:rsid w:val="00DF034C"/>
    <w:rPr>
      <w:b/>
      <w:bCs/>
    </w:rPr>
  </w:style>
  <w:style w:type="character" w:customStyle="1" w:styleId="AssuntodocomentrioChar">
    <w:name w:val="Assunto do comentário Char"/>
    <w:basedOn w:val="TextodecomentrioChar"/>
    <w:link w:val="Assuntodocomentrio"/>
    <w:uiPriority w:val="99"/>
    <w:semiHidden/>
    <w:rsid w:val="00DF0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278">
      <w:bodyDiv w:val="1"/>
      <w:marLeft w:val="0"/>
      <w:marRight w:val="0"/>
      <w:marTop w:val="0"/>
      <w:marBottom w:val="0"/>
      <w:divBdr>
        <w:top w:val="none" w:sz="0" w:space="0" w:color="auto"/>
        <w:left w:val="none" w:sz="0" w:space="0" w:color="auto"/>
        <w:bottom w:val="none" w:sz="0" w:space="0" w:color="auto"/>
        <w:right w:val="none" w:sz="0" w:space="0" w:color="auto"/>
      </w:divBdr>
    </w:div>
    <w:div w:id="99766491">
      <w:bodyDiv w:val="1"/>
      <w:marLeft w:val="0"/>
      <w:marRight w:val="0"/>
      <w:marTop w:val="0"/>
      <w:marBottom w:val="0"/>
      <w:divBdr>
        <w:top w:val="none" w:sz="0" w:space="0" w:color="auto"/>
        <w:left w:val="none" w:sz="0" w:space="0" w:color="auto"/>
        <w:bottom w:val="none" w:sz="0" w:space="0" w:color="auto"/>
        <w:right w:val="none" w:sz="0" w:space="0" w:color="auto"/>
      </w:divBdr>
    </w:div>
    <w:div w:id="220869794">
      <w:bodyDiv w:val="1"/>
      <w:marLeft w:val="0"/>
      <w:marRight w:val="0"/>
      <w:marTop w:val="0"/>
      <w:marBottom w:val="0"/>
      <w:divBdr>
        <w:top w:val="none" w:sz="0" w:space="0" w:color="auto"/>
        <w:left w:val="none" w:sz="0" w:space="0" w:color="auto"/>
        <w:bottom w:val="none" w:sz="0" w:space="0" w:color="auto"/>
        <w:right w:val="none" w:sz="0" w:space="0" w:color="auto"/>
      </w:divBdr>
      <w:divsChild>
        <w:div w:id="846208690">
          <w:marLeft w:val="562"/>
          <w:marRight w:val="0"/>
          <w:marTop w:val="0"/>
          <w:marBottom w:val="60"/>
          <w:divBdr>
            <w:top w:val="none" w:sz="0" w:space="0" w:color="auto"/>
            <w:left w:val="none" w:sz="0" w:space="0" w:color="auto"/>
            <w:bottom w:val="none" w:sz="0" w:space="0" w:color="auto"/>
            <w:right w:val="none" w:sz="0" w:space="0" w:color="auto"/>
          </w:divBdr>
        </w:div>
        <w:div w:id="27528504">
          <w:marLeft w:val="562"/>
          <w:marRight w:val="0"/>
          <w:marTop w:val="0"/>
          <w:marBottom w:val="60"/>
          <w:divBdr>
            <w:top w:val="none" w:sz="0" w:space="0" w:color="auto"/>
            <w:left w:val="none" w:sz="0" w:space="0" w:color="auto"/>
            <w:bottom w:val="none" w:sz="0" w:space="0" w:color="auto"/>
            <w:right w:val="none" w:sz="0" w:space="0" w:color="auto"/>
          </w:divBdr>
        </w:div>
        <w:div w:id="471337879">
          <w:marLeft w:val="562"/>
          <w:marRight w:val="0"/>
          <w:marTop w:val="0"/>
          <w:marBottom w:val="60"/>
          <w:divBdr>
            <w:top w:val="none" w:sz="0" w:space="0" w:color="auto"/>
            <w:left w:val="none" w:sz="0" w:space="0" w:color="auto"/>
            <w:bottom w:val="none" w:sz="0" w:space="0" w:color="auto"/>
            <w:right w:val="none" w:sz="0" w:space="0" w:color="auto"/>
          </w:divBdr>
        </w:div>
        <w:div w:id="1205406880">
          <w:marLeft w:val="562"/>
          <w:marRight w:val="0"/>
          <w:marTop w:val="0"/>
          <w:marBottom w:val="60"/>
          <w:divBdr>
            <w:top w:val="none" w:sz="0" w:space="0" w:color="auto"/>
            <w:left w:val="none" w:sz="0" w:space="0" w:color="auto"/>
            <w:bottom w:val="none" w:sz="0" w:space="0" w:color="auto"/>
            <w:right w:val="none" w:sz="0" w:space="0" w:color="auto"/>
          </w:divBdr>
        </w:div>
        <w:div w:id="4984148">
          <w:marLeft w:val="562"/>
          <w:marRight w:val="0"/>
          <w:marTop w:val="0"/>
          <w:marBottom w:val="60"/>
          <w:divBdr>
            <w:top w:val="none" w:sz="0" w:space="0" w:color="auto"/>
            <w:left w:val="none" w:sz="0" w:space="0" w:color="auto"/>
            <w:bottom w:val="none" w:sz="0" w:space="0" w:color="auto"/>
            <w:right w:val="none" w:sz="0" w:space="0" w:color="auto"/>
          </w:divBdr>
        </w:div>
        <w:div w:id="1342243931">
          <w:marLeft w:val="562"/>
          <w:marRight w:val="0"/>
          <w:marTop w:val="0"/>
          <w:marBottom w:val="60"/>
          <w:divBdr>
            <w:top w:val="none" w:sz="0" w:space="0" w:color="auto"/>
            <w:left w:val="none" w:sz="0" w:space="0" w:color="auto"/>
            <w:bottom w:val="none" w:sz="0" w:space="0" w:color="auto"/>
            <w:right w:val="none" w:sz="0" w:space="0" w:color="auto"/>
          </w:divBdr>
        </w:div>
        <w:div w:id="1361205958">
          <w:marLeft w:val="562"/>
          <w:marRight w:val="0"/>
          <w:marTop w:val="0"/>
          <w:marBottom w:val="60"/>
          <w:divBdr>
            <w:top w:val="none" w:sz="0" w:space="0" w:color="auto"/>
            <w:left w:val="none" w:sz="0" w:space="0" w:color="auto"/>
            <w:bottom w:val="none" w:sz="0" w:space="0" w:color="auto"/>
            <w:right w:val="none" w:sz="0" w:space="0" w:color="auto"/>
          </w:divBdr>
        </w:div>
        <w:div w:id="951743868">
          <w:marLeft w:val="562"/>
          <w:marRight w:val="0"/>
          <w:marTop w:val="0"/>
          <w:marBottom w:val="60"/>
          <w:divBdr>
            <w:top w:val="none" w:sz="0" w:space="0" w:color="auto"/>
            <w:left w:val="none" w:sz="0" w:space="0" w:color="auto"/>
            <w:bottom w:val="none" w:sz="0" w:space="0" w:color="auto"/>
            <w:right w:val="none" w:sz="0" w:space="0" w:color="auto"/>
          </w:divBdr>
        </w:div>
        <w:div w:id="7295387">
          <w:marLeft w:val="562"/>
          <w:marRight w:val="0"/>
          <w:marTop w:val="0"/>
          <w:marBottom w:val="60"/>
          <w:divBdr>
            <w:top w:val="none" w:sz="0" w:space="0" w:color="auto"/>
            <w:left w:val="none" w:sz="0" w:space="0" w:color="auto"/>
            <w:bottom w:val="none" w:sz="0" w:space="0" w:color="auto"/>
            <w:right w:val="none" w:sz="0" w:space="0" w:color="auto"/>
          </w:divBdr>
        </w:div>
        <w:div w:id="229195398">
          <w:marLeft w:val="562"/>
          <w:marRight w:val="0"/>
          <w:marTop w:val="0"/>
          <w:marBottom w:val="60"/>
          <w:divBdr>
            <w:top w:val="none" w:sz="0" w:space="0" w:color="auto"/>
            <w:left w:val="none" w:sz="0" w:space="0" w:color="auto"/>
            <w:bottom w:val="none" w:sz="0" w:space="0" w:color="auto"/>
            <w:right w:val="none" w:sz="0" w:space="0" w:color="auto"/>
          </w:divBdr>
        </w:div>
        <w:div w:id="1488785097">
          <w:marLeft w:val="562"/>
          <w:marRight w:val="0"/>
          <w:marTop w:val="0"/>
          <w:marBottom w:val="60"/>
          <w:divBdr>
            <w:top w:val="none" w:sz="0" w:space="0" w:color="auto"/>
            <w:left w:val="none" w:sz="0" w:space="0" w:color="auto"/>
            <w:bottom w:val="none" w:sz="0" w:space="0" w:color="auto"/>
            <w:right w:val="none" w:sz="0" w:space="0" w:color="auto"/>
          </w:divBdr>
        </w:div>
        <w:div w:id="1929456930">
          <w:marLeft w:val="562"/>
          <w:marRight w:val="0"/>
          <w:marTop w:val="0"/>
          <w:marBottom w:val="60"/>
          <w:divBdr>
            <w:top w:val="none" w:sz="0" w:space="0" w:color="auto"/>
            <w:left w:val="none" w:sz="0" w:space="0" w:color="auto"/>
            <w:bottom w:val="none" w:sz="0" w:space="0" w:color="auto"/>
            <w:right w:val="none" w:sz="0" w:space="0" w:color="auto"/>
          </w:divBdr>
        </w:div>
        <w:div w:id="1922332431">
          <w:marLeft w:val="562"/>
          <w:marRight w:val="0"/>
          <w:marTop w:val="0"/>
          <w:marBottom w:val="60"/>
          <w:divBdr>
            <w:top w:val="none" w:sz="0" w:space="0" w:color="auto"/>
            <w:left w:val="none" w:sz="0" w:space="0" w:color="auto"/>
            <w:bottom w:val="none" w:sz="0" w:space="0" w:color="auto"/>
            <w:right w:val="none" w:sz="0" w:space="0" w:color="auto"/>
          </w:divBdr>
        </w:div>
        <w:div w:id="1884056274">
          <w:marLeft w:val="562"/>
          <w:marRight w:val="0"/>
          <w:marTop w:val="0"/>
          <w:marBottom w:val="60"/>
          <w:divBdr>
            <w:top w:val="none" w:sz="0" w:space="0" w:color="auto"/>
            <w:left w:val="none" w:sz="0" w:space="0" w:color="auto"/>
            <w:bottom w:val="none" w:sz="0" w:space="0" w:color="auto"/>
            <w:right w:val="none" w:sz="0" w:space="0" w:color="auto"/>
          </w:divBdr>
        </w:div>
        <w:div w:id="6755994">
          <w:marLeft w:val="562"/>
          <w:marRight w:val="0"/>
          <w:marTop w:val="0"/>
          <w:marBottom w:val="60"/>
          <w:divBdr>
            <w:top w:val="none" w:sz="0" w:space="0" w:color="auto"/>
            <w:left w:val="none" w:sz="0" w:space="0" w:color="auto"/>
            <w:bottom w:val="none" w:sz="0" w:space="0" w:color="auto"/>
            <w:right w:val="none" w:sz="0" w:space="0" w:color="auto"/>
          </w:divBdr>
        </w:div>
        <w:div w:id="1778014775">
          <w:marLeft w:val="562"/>
          <w:marRight w:val="0"/>
          <w:marTop w:val="0"/>
          <w:marBottom w:val="60"/>
          <w:divBdr>
            <w:top w:val="none" w:sz="0" w:space="0" w:color="auto"/>
            <w:left w:val="none" w:sz="0" w:space="0" w:color="auto"/>
            <w:bottom w:val="none" w:sz="0" w:space="0" w:color="auto"/>
            <w:right w:val="none" w:sz="0" w:space="0" w:color="auto"/>
          </w:divBdr>
        </w:div>
        <w:div w:id="727345555">
          <w:marLeft w:val="562"/>
          <w:marRight w:val="0"/>
          <w:marTop w:val="0"/>
          <w:marBottom w:val="60"/>
          <w:divBdr>
            <w:top w:val="none" w:sz="0" w:space="0" w:color="auto"/>
            <w:left w:val="none" w:sz="0" w:space="0" w:color="auto"/>
            <w:bottom w:val="none" w:sz="0" w:space="0" w:color="auto"/>
            <w:right w:val="none" w:sz="0" w:space="0" w:color="auto"/>
          </w:divBdr>
        </w:div>
        <w:div w:id="2101169866">
          <w:marLeft w:val="562"/>
          <w:marRight w:val="0"/>
          <w:marTop w:val="0"/>
          <w:marBottom w:val="60"/>
          <w:divBdr>
            <w:top w:val="none" w:sz="0" w:space="0" w:color="auto"/>
            <w:left w:val="none" w:sz="0" w:space="0" w:color="auto"/>
            <w:bottom w:val="none" w:sz="0" w:space="0" w:color="auto"/>
            <w:right w:val="none" w:sz="0" w:space="0" w:color="auto"/>
          </w:divBdr>
        </w:div>
        <w:div w:id="963657379">
          <w:marLeft w:val="562"/>
          <w:marRight w:val="0"/>
          <w:marTop w:val="0"/>
          <w:marBottom w:val="60"/>
          <w:divBdr>
            <w:top w:val="none" w:sz="0" w:space="0" w:color="auto"/>
            <w:left w:val="none" w:sz="0" w:space="0" w:color="auto"/>
            <w:bottom w:val="none" w:sz="0" w:space="0" w:color="auto"/>
            <w:right w:val="none" w:sz="0" w:space="0" w:color="auto"/>
          </w:divBdr>
        </w:div>
      </w:divsChild>
    </w:div>
    <w:div w:id="340356761">
      <w:bodyDiv w:val="1"/>
      <w:marLeft w:val="0"/>
      <w:marRight w:val="0"/>
      <w:marTop w:val="0"/>
      <w:marBottom w:val="0"/>
      <w:divBdr>
        <w:top w:val="none" w:sz="0" w:space="0" w:color="auto"/>
        <w:left w:val="none" w:sz="0" w:space="0" w:color="auto"/>
        <w:bottom w:val="none" w:sz="0" w:space="0" w:color="auto"/>
        <w:right w:val="none" w:sz="0" w:space="0" w:color="auto"/>
      </w:divBdr>
    </w:div>
    <w:div w:id="434713370">
      <w:bodyDiv w:val="1"/>
      <w:marLeft w:val="0"/>
      <w:marRight w:val="0"/>
      <w:marTop w:val="0"/>
      <w:marBottom w:val="0"/>
      <w:divBdr>
        <w:top w:val="none" w:sz="0" w:space="0" w:color="auto"/>
        <w:left w:val="none" w:sz="0" w:space="0" w:color="auto"/>
        <w:bottom w:val="none" w:sz="0" w:space="0" w:color="auto"/>
        <w:right w:val="none" w:sz="0" w:space="0" w:color="auto"/>
      </w:divBdr>
    </w:div>
    <w:div w:id="629897137">
      <w:bodyDiv w:val="1"/>
      <w:marLeft w:val="0"/>
      <w:marRight w:val="0"/>
      <w:marTop w:val="0"/>
      <w:marBottom w:val="0"/>
      <w:divBdr>
        <w:top w:val="none" w:sz="0" w:space="0" w:color="auto"/>
        <w:left w:val="none" w:sz="0" w:space="0" w:color="auto"/>
        <w:bottom w:val="none" w:sz="0" w:space="0" w:color="auto"/>
        <w:right w:val="none" w:sz="0" w:space="0" w:color="auto"/>
      </w:divBdr>
    </w:div>
    <w:div w:id="954822807">
      <w:bodyDiv w:val="1"/>
      <w:marLeft w:val="0"/>
      <w:marRight w:val="0"/>
      <w:marTop w:val="0"/>
      <w:marBottom w:val="0"/>
      <w:divBdr>
        <w:top w:val="none" w:sz="0" w:space="0" w:color="auto"/>
        <w:left w:val="none" w:sz="0" w:space="0" w:color="auto"/>
        <w:bottom w:val="none" w:sz="0" w:space="0" w:color="auto"/>
        <w:right w:val="none" w:sz="0" w:space="0" w:color="auto"/>
      </w:divBdr>
    </w:div>
    <w:div w:id="1038509965">
      <w:bodyDiv w:val="1"/>
      <w:marLeft w:val="0"/>
      <w:marRight w:val="0"/>
      <w:marTop w:val="0"/>
      <w:marBottom w:val="0"/>
      <w:divBdr>
        <w:top w:val="none" w:sz="0" w:space="0" w:color="auto"/>
        <w:left w:val="none" w:sz="0" w:space="0" w:color="auto"/>
        <w:bottom w:val="none" w:sz="0" w:space="0" w:color="auto"/>
        <w:right w:val="none" w:sz="0" w:space="0" w:color="auto"/>
      </w:divBdr>
    </w:div>
    <w:div w:id="1114901388">
      <w:bodyDiv w:val="1"/>
      <w:marLeft w:val="0"/>
      <w:marRight w:val="0"/>
      <w:marTop w:val="0"/>
      <w:marBottom w:val="0"/>
      <w:divBdr>
        <w:top w:val="none" w:sz="0" w:space="0" w:color="auto"/>
        <w:left w:val="none" w:sz="0" w:space="0" w:color="auto"/>
        <w:bottom w:val="none" w:sz="0" w:space="0" w:color="auto"/>
        <w:right w:val="none" w:sz="0" w:space="0" w:color="auto"/>
      </w:divBdr>
    </w:div>
    <w:div w:id="1204252229">
      <w:bodyDiv w:val="1"/>
      <w:marLeft w:val="0"/>
      <w:marRight w:val="0"/>
      <w:marTop w:val="0"/>
      <w:marBottom w:val="0"/>
      <w:divBdr>
        <w:top w:val="none" w:sz="0" w:space="0" w:color="auto"/>
        <w:left w:val="none" w:sz="0" w:space="0" w:color="auto"/>
        <w:bottom w:val="none" w:sz="0" w:space="0" w:color="auto"/>
        <w:right w:val="none" w:sz="0" w:space="0" w:color="auto"/>
      </w:divBdr>
    </w:div>
    <w:div w:id="1337539730">
      <w:bodyDiv w:val="1"/>
      <w:marLeft w:val="0"/>
      <w:marRight w:val="0"/>
      <w:marTop w:val="0"/>
      <w:marBottom w:val="0"/>
      <w:divBdr>
        <w:top w:val="none" w:sz="0" w:space="0" w:color="auto"/>
        <w:left w:val="none" w:sz="0" w:space="0" w:color="auto"/>
        <w:bottom w:val="none" w:sz="0" w:space="0" w:color="auto"/>
        <w:right w:val="none" w:sz="0" w:space="0" w:color="auto"/>
      </w:divBdr>
    </w:div>
    <w:div w:id="1344356884">
      <w:bodyDiv w:val="1"/>
      <w:marLeft w:val="0"/>
      <w:marRight w:val="0"/>
      <w:marTop w:val="0"/>
      <w:marBottom w:val="0"/>
      <w:divBdr>
        <w:top w:val="none" w:sz="0" w:space="0" w:color="auto"/>
        <w:left w:val="none" w:sz="0" w:space="0" w:color="auto"/>
        <w:bottom w:val="none" w:sz="0" w:space="0" w:color="auto"/>
        <w:right w:val="none" w:sz="0" w:space="0" w:color="auto"/>
      </w:divBdr>
      <w:divsChild>
        <w:div w:id="1932543860">
          <w:marLeft w:val="0"/>
          <w:marRight w:val="0"/>
          <w:marTop w:val="0"/>
          <w:marBottom w:val="0"/>
          <w:divBdr>
            <w:top w:val="none" w:sz="0" w:space="0" w:color="auto"/>
            <w:left w:val="none" w:sz="0" w:space="0" w:color="auto"/>
            <w:bottom w:val="none" w:sz="0" w:space="0" w:color="auto"/>
            <w:right w:val="none" w:sz="0" w:space="0" w:color="auto"/>
          </w:divBdr>
          <w:divsChild>
            <w:div w:id="1609240857">
              <w:marLeft w:val="0"/>
              <w:marRight w:val="0"/>
              <w:marTop w:val="0"/>
              <w:marBottom w:val="0"/>
              <w:divBdr>
                <w:top w:val="none" w:sz="0" w:space="0" w:color="auto"/>
                <w:left w:val="none" w:sz="0" w:space="0" w:color="auto"/>
                <w:bottom w:val="none" w:sz="0" w:space="0" w:color="auto"/>
                <w:right w:val="none" w:sz="0" w:space="0" w:color="auto"/>
              </w:divBdr>
              <w:divsChild>
                <w:div w:id="1050961356">
                  <w:marLeft w:val="0"/>
                  <w:marRight w:val="0"/>
                  <w:marTop w:val="0"/>
                  <w:marBottom w:val="0"/>
                  <w:divBdr>
                    <w:top w:val="none" w:sz="0" w:space="0" w:color="auto"/>
                    <w:left w:val="none" w:sz="0" w:space="0" w:color="auto"/>
                    <w:bottom w:val="none" w:sz="0" w:space="0" w:color="auto"/>
                    <w:right w:val="none" w:sz="0" w:space="0" w:color="auto"/>
                  </w:divBdr>
                  <w:divsChild>
                    <w:div w:id="19540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94481">
      <w:bodyDiv w:val="1"/>
      <w:marLeft w:val="0"/>
      <w:marRight w:val="0"/>
      <w:marTop w:val="0"/>
      <w:marBottom w:val="0"/>
      <w:divBdr>
        <w:top w:val="none" w:sz="0" w:space="0" w:color="auto"/>
        <w:left w:val="none" w:sz="0" w:space="0" w:color="auto"/>
        <w:bottom w:val="none" w:sz="0" w:space="0" w:color="auto"/>
        <w:right w:val="none" w:sz="0" w:space="0" w:color="auto"/>
      </w:divBdr>
    </w:div>
    <w:div w:id="1864512234">
      <w:bodyDiv w:val="1"/>
      <w:marLeft w:val="0"/>
      <w:marRight w:val="0"/>
      <w:marTop w:val="0"/>
      <w:marBottom w:val="0"/>
      <w:divBdr>
        <w:top w:val="none" w:sz="0" w:space="0" w:color="auto"/>
        <w:left w:val="none" w:sz="0" w:space="0" w:color="auto"/>
        <w:bottom w:val="none" w:sz="0" w:space="0" w:color="auto"/>
        <w:right w:val="none" w:sz="0" w:space="0" w:color="auto"/>
      </w:divBdr>
      <w:divsChild>
        <w:div w:id="1562207669">
          <w:marLeft w:val="0"/>
          <w:marRight w:val="0"/>
          <w:marTop w:val="0"/>
          <w:marBottom w:val="0"/>
          <w:divBdr>
            <w:top w:val="none" w:sz="0" w:space="0" w:color="auto"/>
            <w:left w:val="none" w:sz="0" w:space="0" w:color="auto"/>
            <w:bottom w:val="none" w:sz="0" w:space="0" w:color="auto"/>
            <w:right w:val="none" w:sz="0" w:space="0" w:color="auto"/>
          </w:divBdr>
          <w:divsChild>
            <w:div w:id="696009778">
              <w:marLeft w:val="0"/>
              <w:marRight w:val="0"/>
              <w:marTop w:val="0"/>
              <w:marBottom w:val="0"/>
              <w:divBdr>
                <w:top w:val="none" w:sz="0" w:space="0" w:color="auto"/>
                <w:left w:val="none" w:sz="0" w:space="0" w:color="auto"/>
                <w:bottom w:val="none" w:sz="0" w:space="0" w:color="auto"/>
                <w:right w:val="none" w:sz="0" w:space="0" w:color="auto"/>
              </w:divBdr>
              <w:divsChild>
                <w:div w:id="1246259669">
                  <w:marLeft w:val="0"/>
                  <w:marRight w:val="0"/>
                  <w:marTop w:val="0"/>
                  <w:marBottom w:val="0"/>
                  <w:divBdr>
                    <w:top w:val="none" w:sz="0" w:space="0" w:color="auto"/>
                    <w:left w:val="none" w:sz="0" w:space="0" w:color="auto"/>
                    <w:bottom w:val="none" w:sz="0" w:space="0" w:color="auto"/>
                    <w:right w:val="none" w:sz="0" w:space="0" w:color="auto"/>
                  </w:divBdr>
                  <w:divsChild>
                    <w:div w:id="14540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92355">
      <w:bodyDiv w:val="1"/>
      <w:marLeft w:val="0"/>
      <w:marRight w:val="0"/>
      <w:marTop w:val="0"/>
      <w:marBottom w:val="0"/>
      <w:divBdr>
        <w:top w:val="none" w:sz="0" w:space="0" w:color="auto"/>
        <w:left w:val="none" w:sz="0" w:space="0" w:color="auto"/>
        <w:bottom w:val="none" w:sz="0" w:space="0" w:color="auto"/>
        <w:right w:val="none" w:sz="0" w:space="0" w:color="auto"/>
      </w:divBdr>
    </w:div>
    <w:div w:id="2018724001">
      <w:bodyDiv w:val="1"/>
      <w:marLeft w:val="0"/>
      <w:marRight w:val="0"/>
      <w:marTop w:val="0"/>
      <w:marBottom w:val="0"/>
      <w:divBdr>
        <w:top w:val="none" w:sz="0" w:space="0" w:color="auto"/>
        <w:left w:val="none" w:sz="0" w:space="0" w:color="auto"/>
        <w:bottom w:val="none" w:sz="0" w:space="0" w:color="auto"/>
        <w:right w:val="none" w:sz="0" w:space="0" w:color="auto"/>
      </w:divBdr>
    </w:div>
    <w:div w:id="2035765345">
      <w:bodyDiv w:val="1"/>
      <w:marLeft w:val="0"/>
      <w:marRight w:val="0"/>
      <w:marTop w:val="0"/>
      <w:marBottom w:val="0"/>
      <w:divBdr>
        <w:top w:val="none" w:sz="0" w:space="0" w:color="auto"/>
        <w:left w:val="none" w:sz="0" w:space="0" w:color="auto"/>
        <w:bottom w:val="none" w:sz="0" w:space="0" w:color="auto"/>
        <w:right w:val="none" w:sz="0" w:space="0" w:color="auto"/>
      </w:divBdr>
    </w:div>
    <w:div w:id="21125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file:///\\FILESERVER\TESOURO\DEQG\SEEF\Textos%20para%20Discuss&#227;o%20SEEF-TE\2.%20O%20que%20explica%20a%20deteriora&#231;&#227;o%20das%20contas%20do%20RS\BRAATZ,%20J.%202016.%20http:\zh.clicrbs.com.br\rs\opiniao\noticia\2016\02\jaco-braatz-crise-e-oportunidade-as-novas-lrfs-estaduais-4982777.htm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interessenacional.com/index.php/edicoes-revista/a-rigidez-do-gasto-publico-problemase-soluc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 Id="rId22" Type="http://schemas.openxmlformats.org/officeDocument/2006/relationships/hyperlink" Target="http://www.brasil-economia-governo.org.br/2015/12/07/capacidade-de-investir-com-recursos-proprios-dos-estad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onomia.estadao.com.br/noticias/geral,os-desafios-para-sair-da-rise,176119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co\Desktop\TD%20TE%2001%202016\Resultado%20Prim&#225;rio%20e%20Or&#231;ament&#225;rio%20consolidad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co\Desktop\TD%20TE%2001%202016\ICMS%20x%20PIB.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aco\Desktop\TD%20TE%2001%202016\Receitas_Adela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acob\Desktop\TD%20TE%2001%202016\Receitas_Adela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aco\Desktop\TD%20TE%2001%202016\Receitas%20e%20Despesas%20totais%20em%20rela&#231;&#227;oao%20PIB.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acob\Desktop\TD%20TE%2001%202016\C&#243;pia%20de%20C&#243;pia%20de%20Dados%20artigo%20s&#243;%20R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aco\Desktop\TD%20TE%2001%202016\C&#243;pia%20de%20C&#243;pia%20de%20Dados%20artigo%20s&#243;%20R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aco\Desktop\TD%20TE%2001%202016\Receitas_Adela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strRef>
              <c:f>' Prim. e Orçam. Nominal (2)'!$D$3</c:f>
              <c:strCache>
                <c:ptCount val="1"/>
                <c:pt idx="0">
                  <c:v>Resultado Primário/PIB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 Prim. e Orçam. Nominal (2)'!$A$4:$A$48</c:f>
              <c:numCache>
                <c:formatCode>General</c:formatCode>
                <c:ptCount val="45"/>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pt idx="37">
                  <c:v>2008</c:v>
                </c:pt>
                <c:pt idx="38">
                  <c:v>2009</c:v>
                </c:pt>
                <c:pt idx="39">
                  <c:v>2010</c:v>
                </c:pt>
                <c:pt idx="40">
                  <c:v>2011</c:v>
                </c:pt>
                <c:pt idx="41">
                  <c:v>2012</c:v>
                </c:pt>
                <c:pt idx="42">
                  <c:v>2013</c:v>
                </c:pt>
                <c:pt idx="43">
                  <c:v>2014</c:v>
                </c:pt>
                <c:pt idx="44">
                  <c:v>2015</c:v>
                </c:pt>
              </c:numCache>
            </c:numRef>
          </c:cat>
          <c:val>
            <c:numRef>
              <c:f>' Prim. e Orçam. Nominal (2)'!$D$4:$D$48</c:f>
              <c:numCache>
                <c:formatCode>0.0%</c:formatCode>
                <c:ptCount val="45"/>
                <c:pt idx="0">
                  <c:v>-5.9999999999999995E-4</c:v>
                </c:pt>
                <c:pt idx="1">
                  <c:v>-3.5999999999999999E-3</c:v>
                </c:pt>
                <c:pt idx="2">
                  <c:v>-5.0000000000000001E-3</c:v>
                </c:pt>
                <c:pt idx="3">
                  <c:v>-8.6E-3</c:v>
                </c:pt>
                <c:pt idx="4">
                  <c:v>-1.0200000000000001E-2</c:v>
                </c:pt>
                <c:pt idx="5">
                  <c:v>-1.0500000000000001E-2</c:v>
                </c:pt>
                <c:pt idx="6">
                  <c:v>-2.0000000000000001E-4</c:v>
                </c:pt>
                <c:pt idx="7">
                  <c:v>-4.1000000000000003E-3</c:v>
                </c:pt>
                <c:pt idx="8">
                  <c:v>-6.4999999999999997E-3</c:v>
                </c:pt>
                <c:pt idx="9">
                  <c:v>-3.5000000000000001E-3</c:v>
                </c:pt>
                <c:pt idx="10">
                  <c:v>-8.2000000000000007E-3</c:v>
                </c:pt>
                <c:pt idx="11">
                  <c:v>-1.12E-2</c:v>
                </c:pt>
                <c:pt idx="12">
                  <c:v>-9.7999999999999997E-3</c:v>
                </c:pt>
                <c:pt idx="13">
                  <c:v>-7.7999999999999996E-3</c:v>
                </c:pt>
                <c:pt idx="14">
                  <c:v>-1.2500000000000001E-2</c:v>
                </c:pt>
                <c:pt idx="15">
                  <c:v>-8.5000000000000006E-3</c:v>
                </c:pt>
                <c:pt idx="16">
                  <c:v>-4.3E-3</c:v>
                </c:pt>
                <c:pt idx="17">
                  <c:v>-5.8999999999999999E-3</c:v>
                </c:pt>
                <c:pt idx="18">
                  <c:v>-1.4E-2</c:v>
                </c:pt>
                <c:pt idx="19">
                  <c:v>-1.7100000000000001E-2</c:v>
                </c:pt>
                <c:pt idx="20">
                  <c:v>-2.3E-3</c:v>
                </c:pt>
                <c:pt idx="21">
                  <c:v>-1.9400000000000001E-2</c:v>
                </c:pt>
                <c:pt idx="22">
                  <c:v>-1.12E-2</c:v>
                </c:pt>
                <c:pt idx="23">
                  <c:v>-3.8E-3</c:v>
                </c:pt>
                <c:pt idx="24">
                  <c:v>-3.5999999999999999E-3</c:v>
                </c:pt>
                <c:pt idx="25">
                  <c:v>-1.0999999999999999E-2</c:v>
                </c:pt>
                <c:pt idx="26">
                  <c:v>-7.4000000000000003E-3</c:v>
                </c:pt>
                <c:pt idx="27">
                  <c:v>-1.9800000000000002E-2</c:v>
                </c:pt>
                <c:pt idx="28">
                  <c:v>-5.4000000000000003E-3</c:v>
                </c:pt>
                <c:pt idx="29">
                  <c:v>-4.8999999999999998E-3</c:v>
                </c:pt>
                <c:pt idx="30">
                  <c:v>-3.0999999999999999E-3</c:v>
                </c:pt>
                <c:pt idx="31">
                  <c:v>-5.9999999999999995E-4</c:v>
                </c:pt>
                <c:pt idx="32">
                  <c:v>-8.0000000000000004E-4</c:v>
                </c:pt>
                <c:pt idx="33">
                  <c:v>2.9999999999999997E-4</c:v>
                </c:pt>
                <c:pt idx="34">
                  <c:v>4.0000000000000001E-3</c:v>
                </c:pt>
                <c:pt idx="35">
                  <c:v>2.8999999999999998E-3</c:v>
                </c:pt>
                <c:pt idx="36">
                  <c:v>5.4000000000000003E-3</c:v>
                </c:pt>
                <c:pt idx="37">
                  <c:v>1.0800000000000001E-2</c:v>
                </c:pt>
                <c:pt idx="38">
                  <c:v>8.3999999999999995E-3</c:v>
                </c:pt>
                <c:pt idx="39">
                  <c:v>6.3E-3</c:v>
                </c:pt>
                <c:pt idx="40">
                  <c:v>5.4999999999999997E-3</c:v>
                </c:pt>
                <c:pt idx="41">
                  <c:v>2.8999999999999998E-3</c:v>
                </c:pt>
                <c:pt idx="42">
                  <c:v>2E-3</c:v>
                </c:pt>
                <c:pt idx="43">
                  <c:v>-1.6000000000000001E-3</c:v>
                </c:pt>
                <c:pt idx="44">
                  <c:v>-4.531719179770635E-3</c:v>
                </c:pt>
              </c:numCache>
            </c:numRef>
          </c:val>
          <c:smooth val="0"/>
        </c:ser>
        <c:dLbls>
          <c:showLegendKey val="0"/>
          <c:showVal val="0"/>
          <c:showCatName val="0"/>
          <c:showSerName val="0"/>
          <c:showPercent val="0"/>
          <c:showBubbleSize val="0"/>
        </c:dLbls>
        <c:marker val="1"/>
        <c:smooth val="0"/>
        <c:axId val="395470936"/>
        <c:axId val="395467800"/>
      </c:lineChart>
      <c:catAx>
        <c:axId val="395470936"/>
        <c:scaling>
          <c:orientation val="minMax"/>
        </c:scaling>
        <c:delete val="0"/>
        <c:axPos val="b"/>
        <c:numFmt formatCode="General" sourceLinked="1"/>
        <c:majorTickMark val="none"/>
        <c:minorTickMark val="none"/>
        <c:tickLblPos val="low"/>
        <c:spPr>
          <a:noFill/>
          <a:ln w="12700" cap="flat" cmpd="sng" algn="ctr">
            <a:solidFill>
              <a:schemeClr val="tx1">
                <a:lumMod val="65000"/>
                <a:lumOff val="3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crossAx val="395467800"/>
        <c:crosses val="autoZero"/>
        <c:auto val="1"/>
        <c:lblAlgn val="ctr"/>
        <c:lblOffset val="100"/>
        <c:noMultiLvlLbl val="0"/>
      </c:catAx>
      <c:valAx>
        <c:axId val="3954678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95470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Plan1!$B$1</c:f>
              <c:strCache>
                <c:ptCount val="1"/>
                <c:pt idx="0">
                  <c:v>Receita Total / PIB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numRef>
              <c:f>Plan1!$A$2:$A$46</c:f>
              <c:numCache>
                <c:formatCode>General</c:formatCode>
                <c:ptCount val="45"/>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pt idx="37">
                  <c:v>2008</c:v>
                </c:pt>
                <c:pt idx="38">
                  <c:v>2009</c:v>
                </c:pt>
                <c:pt idx="39">
                  <c:v>2010</c:v>
                </c:pt>
                <c:pt idx="40">
                  <c:v>2011</c:v>
                </c:pt>
                <c:pt idx="41">
                  <c:v>2012</c:v>
                </c:pt>
                <c:pt idx="42">
                  <c:v>2013</c:v>
                </c:pt>
                <c:pt idx="43">
                  <c:v>2014</c:v>
                </c:pt>
                <c:pt idx="44">
                  <c:v>2015</c:v>
                </c:pt>
              </c:numCache>
            </c:numRef>
          </c:cat>
          <c:val>
            <c:numRef>
              <c:f>Plan1!$B$2:$B$46</c:f>
              <c:numCache>
                <c:formatCode>0.00%</c:formatCode>
                <c:ptCount val="45"/>
                <c:pt idx="0">
                  <c:v>9.6600000000000005E-2</c:v>
                </c:pt>
                <c:pt idx="1">
                  <c:v>9.6500000000000002E-2</c:v>
                </c:pt>
                <c:pt idx="2">
                  <c:v>8.6999999999999994E-2</c:v>
                </c:pt>
                <c:pt idx="3">
                  <c:v>8.5900000000000004E-2</c:v>
                </c:pt>
                <c:pt idx="4">
                  <c:v>9.4E-2</c:v>
                </c:pt>
                <c:pt idx="5">
                  <c:v>7.8399999999999997E-2</c:v>
                </c:pt>
                <c:pt idx="6">
                  <c:v>7.8100000000000003E-2</c:v>
                </c:pt>
                <c:pt idx="7">
                  <c:v>8.5800000000000001E-2</c:v>
                </c:pt>
                <c:pt idx="8">
                  <c:v>8.1299999999999997E-2</c:v>
                </c:pt>
                <c:pt idx="9">
                  <c:v>7.7499999999999999E-2</c:v>
                </c:pt>
                <c:pt idx="10">
                  <c:v>9.1200000000000003E-2</c:v>
                </c:pt>
                <c:pt idx="11">
                  <c:v>0.1071</c:v>
                </c:pt>
                <c:pt idx="12">
                  <c:v>7.9100000000000004E-2</c:v>
                </c:pt>
                <c:pt idx="13">
                  <c:v>8.8300000000000003E-2</c:v>
                </c:pt>
                <c:pt idx="14">
                  <c:v>9.8900000000000002E-2</c:v>
                </c:pt>
                <c:pt idx="15">
                  <c:v>0.1113</c:v>
                </c:pt>
                <c:pt idx="16">
                  <c:v>0.1095</c:v>
                </c:pt>
                <c:pt idx="17">
                  <c:v>9.5600000000000004E-2</c:v>
                </c:pt>
                <c:pt idx="18">
                  <c:v>9.8000000000000004E-2</c:v>
                </c:pt>
                <c:pt idx="19">
                  <c:v>0.1235</c:v>
                </c:pt>
                <c:pt idx="20">
                  <c:v>0.10349999999999999</c:v>
                </c:pt>
                <c:pt idx="21">
                  <c:v>0.1152</c:v>
                </c:pt>
                <c:pt idx="22">
                  <c:v>0.1123</c:v>
                </c:pt>
                <c:pt idx="23">
                  <c:v>0.11940000000000001</c:v>
                </c:pt>
                <c:pt idx="24">
                  <c:v>0.114</c:v>
                </c:pt>
                <c:pt idx="25">
                  <c:v>0.13289999999999999</c:v>
                </c:pt>
                <c:pt idx="26">
                  <c:v>0.14749999999999999</c:v>
                </c:pt>
                <c:pt idx="27">
                  <c:v>0.18790000000000001</c:v>
                </c:pt>
                <c:pt idx="28">
                  <c:v>0.1079</c:v>
                </c:pt>
                <c:pt idx="29">
                  <c:v>0.1133</c:v>
                </c:pt>
                <c:pt idx="30">
                  <c:v>0.1157</c:v>
                </c:pt>
                <c:pt idx="31">
                  <c:v>0.1173</c:v>
                </c:pt>
                <c:pt idx="32">
                  <c:v>0.1137</c:v>
                </c:pt>
                <c:pt idx="33">
                  <c:v>0.1062</c:v>
                </c:pt>
                <c:pt idx="34">
                  <c:v>0.11550000000000001</c:v>
                </c:pt>
                <c:pt idx="35">
                  <c:v>0.11550000000000001</c:v>
                </c:pt>
                <c:pt idx="36">
                  <c:v>0.114</c:v>
                </c:pt>
                <c:pt idx="37">
                  <c:v>0.1183</c:v>
                </c:pt>
                <c:pt idx="38">
                  <c:v>0.10970000000000001</c:v>
                </c:pt>
                <c:pt idx="39">
                  <c:v>0.1134</c:v>
                </c:pt>
                <c:pt idx="40">
                  <c:v>0.1124</c:v>
                </c:pt>
                <c:pt idx="41">
                  <c:v>0.1171</c:v>
                </c:pt>
                <c:pt idx="42">
                  <c:v>0.11700000000000001</c:v>
                </c:pt>
                <c:pt idx="43">
                  <c:v>0.12509999999999999</c:v>
                </c:pt>
                <c:pt idx="44">
                  <c:v>0.12470000000000001</c:v>
                </c:pt>
              </c:numCache>
            </c:numRef>
          </c:val>
          <c:smooth val="0"/>
        </c:ser>
        <c:dLbls>
          <c:showLegendKey val="0"/>
          <c:showVal val="0"/>
          <c:showCatName val="0"/>
          <c:showSerName val="0"/>
          <c:showPercent val="0"/>
          <c:showBubbleSize val="0"/>
        </c:dLbls>
        <c:marker val="1"/>
        <c:smooth val="0"/>
        <c:axId val="395471328"/>
        <c:axId val="395464272"/>
      </c:lineChart>
      <c:catAx>
        <c:axId val="39547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t-BR"/>
          </a:p>
        </c:txPr>
        <c:crossAx val="395464272"/>
        <c:crosses val="autoZero"/>
        <c:auto val="1"/>
        <c:lblAlgn val="ctr"/>
        <c:lblOffset val="100"/>
        <c:noMultiLvlLbl val="0"/>
      </c:catAx>
      <c:valAx>
        <c:axId val="395464272"/>
        <c:scaling>
          <c:orientation val="minMax"/>
          <c:max val="0.19500000000000003"/>
          <c:min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39547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43895246376463"/>
          <c:y val="0.12497268829616193"/>
          <c:w val="0.77105702435110679"/>
          <c:h val="0.68307550397823313"/>
        </c:manualLayout>
      </c:layout>
      <c:lineChart>
        <c:grouping val="standard"/>
        <c:varyColors val="0"/>
        <c:ser>
          <c:idx val="0"/>
          <c:order val="0"/>
          <c:tx>
            <c:strRef>
              <c:f>Plan1!$A$4</c:f>
              <c:strCache>
                <c:ptCount val="1"/>
                <c:pt idx="0">
                  <c:v>ICMS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Plan1!$B$3:$R$3</c:f>
              <c:numCache>
                <c:formatCode>0</c:formatCode>
                <c:ptCount val="17"/>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numCache>
            </c:numRef>
          </c:cat>
          <c:val>
            <c:numRef>
              <c:f>Plan1!$B$4:$R$4</c:f>
              <c:numCache>
                <c:formatCode>_("R$"* #,##0.00_);_("R$"* \(#,##0.00\);_("R$"* "-"??_);_(@_)</c:formatCode>
                <c:ptCount val="17"/>
                <c:pt idx="0">
                  <c:v>4521426101.9100018</c:v>
                </c:pt>
                <c:pt idx="1">
                  <c:v>5489651971.5600023</c:v>
                </c:pt>
                <c:pt idx="2">
                  <c:v>6515174957.4499998</c:v>
                </c:pt>
                <c:pt idx="3">
                  <c:v>7266357620.9000015</c:v>
                </c:pt>
                <c:pt idx="4">
                  <c:v>8595598668.4899979</c:v>
                </c:pt>
                <c:pt idx="5">
                  <c:v>9637938266.7600002</c:v>
                </c:pt>
                <c:pt idx="6">
                  <c:v>10883213911.240002</c:v>
                </c:pt>
                <c:pt idx="7">
                  <c:v>11812661386.889994</c:v>
                </c:pt>
                <c:pt idx="8">
                  <c:v>12257603034.530003</c:v>
                </c:pt>
                <c:pt idx="9">
                  <c:v>14824635137.41</c:v>
                </c:pt>
                <c:pt idx="10">
                  <c:v>15086186713.550001</c:v>
                </c:pt>
                <c:pt idx="11">
                  <c:v>17892764895.369999</c:v>
                </c:pt>
                <c:pt idx="12">
                  <c:v>19502332077.479984</c:v>
                </c:pt>
                <c:pt idx="13">
                  <c:v>21377507451.400021</c:v>
                </c:pt>
                <c:pt idx="14">
                  <c:v>24060565601.010006</c:v>
                </c:pt>
                <c:pt idx="15">
                  <c:v>25854213138.539989</c:v>
                </c:pt>
                <c:pt idx="16">
                  <c:v>28290269632.826</c:v>
                </c:pt>
              </c:numCache>
            </c:numRef>
          </c:val>
          <c:smooth val="0"/>
        </c:ser>
        <c:dLbls>
          <c:showLegendKey val="0"/>
          <c:showVal val="0"/>
          <c:showCatName val="0"/>
          <c:showSerName val="0"/>
          <c:showPercent val="0"/>
          <c:showBubbleSize val="0"/>
        </c:dLbls>
        <c:marker val="1"/>
        <c:smooth val="0"/>
        <c:axId val="395465056"/>
        <c:axId val="395465448"/>
      </c:lineChart>
      <c:lineChart>
        <c:grouping val="standard"/>
        <c:varyColors val="0"/>
        <c:ser>
          <c:idx val="1"/>
          <c:order val="1"/>
          <c:tx>
            <c:strRef>
              <c:f>Plan1!$A$5</c:f>
              <c:strCache>
                <c:ptCount val="1"/>
                <c:pt idx="0">
                  <c:v>PIB</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numRef>
              <c:f>Plan1!$B$3:$R$3</c:f>
              <c:numCache>
                <c:formatCode>0</c:formatCode>
                <c:ptCount val="17"/>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numCache>
            </c:numRef>
          </c:cat>
          <c:val>
            <c:numRef>
              <c:f>Plan1!$B$5:$R$5</c:f>
              <c:numCache>
                <c:formatCode>_("R$"* #,##0.00_);_("R$"* \(#,##0.00\);_("R$"* "-"??_);_(@_)</c:formatCode>
                <c:ptCount val="17"/>
                <c:pt idx="0">
                  <c:v>74015781627</c:v>
                </c:pt>
                <c:pt idx="1">
                  <c:v>81814713665.999985</c:v>
                </c:pt>
                <c:pt idx="2">
                  <c:v>92310078326.999985</c:v>
                </c:pt>
                <c:pt idx="3">
                  <c:v>105486816447.00005</c:v>
                </c:pt>
                <c:pt idx="4">
                  <c:v>124551267194.00003</c:v>
                </c:pt>
                <c:pt idx="5">
                  <c:v>137830682459.00003</c:v>
                </c:pt>
                <c:pt idx="6">
                  <c:v>144218198066.99997</c:v>
                </c:pt>
                <c:pt idx="7">
                  <c:v>156826932244.00003</c:v>
                </c:pt>
                <c:pt idx="8">
                  <c:v>176615073129.00012</c:v>
                </c:pt>
                <c:pt idx="9">
                  <c:v>199494245975.00006</c:v>
                </c:pt>
                <c:pt idx="10">
                  <c:v>215863879431.99976</c:v>
                </c:pt>
                <c:pt idx="11">
                  <c:v>252482596814.99991</c:v>
                </c:pt>
                <c:pt idx="12">
                  <c:v>263633397841.00052</c:v>
                </c:pt>
                <c:pt idx="13">
                  <c:v>277657665657.99969</c:v>
                </c:pt>
                <c:pt idx="14">
                  <c:v>331095182851.41998</c:v>
                </c:pt>
                <c:pt idx="15">
                  <c:v>360439871990.33002</c:v>
                </c:pt>
                <c:pt idx="16">
                  <c:v>392149409419.03998</c:v>
                </c:pt>
              </c:numCache>
            </c:numRef>
          </c:val>
          <c:smooth val="0"/>
        </c:ser>
        <c:dLbls>
          <c:showLegendKey val="0"/>
          <c:showVal val="0"/>
          <c:showCatName val="0"/>
          <c:showSerName val="0"/>
          <c:showPercent val="0"/>
          <c:showBubbleSize val="0"/>
        </c:dLbls>
        <c:marker val="1"/>
        <c:smooth val="0"/>
        <c:axId val="395466624"/>
        <c:axId val="395465840"/>
      </c:lineChart>
      <c:catAx>
        <c:axId val="39546505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395465448"/>
        <c:crosses val="autoZero"/>
        <c:auto val="1"/>
        <c:lblAlgn val="ctr"/>
        <c:lblOffset val="100"/>
        <c:noMultiLvlLbl val="0"/>
      </c:catAx>
      <c:valAx>
        <c:axId val="395465448"/>
        <c:scaling>
          <c:orientation val="minMax"/>
          <c:max val="31900000000"/>
          <c:min val="1000000000"/>
        </c:scaling>
        <c:delete val="0"/>
        <c:axPos val="l"/>
        <c:majorGridlines>
          <c:spPr>
            <a:ln w="9525" cap="flat" cmpd="sng" algn="ctr">
              <a:solidFill>
                <a:schemeClr val="tx1">
                  <a:lumMod val="15000"/>
                  <a:lumOff val="85000"/>
                </a:schemeClr>
              </a:solidFill>
              <a:round/>
            </a:ln>
            <a:effectLst/>
          </c:spPr>
        </c:majorGridlines>
        <c:numFmt formatCode="&quot;R$&quot;\ #,##0" sourceLinked="0"/>
        <c:majorTickMark val="none"/>
        <c:minorTickMark val="none"/>
        <c:tickLblPos val="nextTo"/>
        <c:spPr>
          <a:noFill/>
          <a:ln>
            <a:solidFill>
              <a:schemeClr val="bg1"/>
            </a:solidFill>
          </a:ln>
          <a:effectLst/>
        </c:spPr>
        <c:txPr>
          <a:bodyPr rot="-60000000" spcFirstLastPara="1" vertOverflow="ellipsis" vert="horz" wrap="square" anchor="ctr" anchorCtr="1"/>
          <a:lstStyle/>
          <a:p>
            <a:pPr>
              <a:defRPr sz="800" b="0" i="0" u="none" strike="noStrike" kern="1200" baseline="0">
                <a:ln>
                  <a:noFill/>
                </a:ln>
                <a:solidFill>
                  <a:schemeClr val="tx1">
                    <a:lumMod val="65000"/>
                    <a:lumOff val="35000"/>
                  </a:schemeClr>
                </a:solidFill>
                <a:latin typeface="+mn-lt"/>
                <a:ea typeface="+mn-ea"/>
                <a:cs typeface="+mn-cs"/>
              </a:defRPr>
            </a:pPr>
            <a:endParaRPr lang="pt-BR"/>
          </a:p>
        </c:txPr>
        <c:crossAx val="395465056"/>
        <c:crosses val="autoZero"/>
        <c:crossBetween val="between"/>
        <c:dispUnits>
          <c:builtInUnit val="b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valAx>
        <c:axId val="395465840"/>
        <c:scaling>
          <c:orientation val="minMax"/>
          <c:min val="5000000000"/>
        </c:scaling>
        <c:delete val="0"/>
        <c:axPos val="r"/>
        <c:numFmt formatCode="&quot;R$&quot;\ #,##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395466624"/>
        <c:crosses val="max"/>
        <c:crossBetween val="between"/>
        <c:majorUnit val="100000000000"/>
        <c:dispUnits>
          <c:builtInUnit val="b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catAx>
        <c:axId val="395466624"/>
        <c:scaling>
          <c:orientation val="minMax"/>
        </c:scaling>
        <c:delete val="1"/>
        <c:axPos val="b"/>
        <c:numFmt formatCode="0" sourceLinked="1"/>
        <c:majorTickMark val="out"/>
        <c:minorTickMark val="none"/>
        <c:tickLblPos val="nextTo"/>
        <c:crossAx val="395465840"/>
        <c:crosses val="autoZero"/>
        <c:auto val="1"/>
        <c:lblAlgn val="ctr"/>
        <c:lblOffset val="100"/>
        <c:noMultiLvlLbl val="0"/>
      </c:catAx>
      <c:spPr>
        <a:noFill/>
        <a:ln>
          <a:noFill/>
        </a:ln>
        <a:effectLst/>
      </c:spPr>
    </c:plotArea>
    <c:legend>
      <c:legendPos val="b"/>
      <c:layout>
        <c:manualLayout>
          <c:xMode val="edge"/>
          <c:yMode val="edge"/>
          <c:x val="0.12079190002749055"/>
          <c:y val="0.90944418106113689"/>
          <c:w val="0.77405762235924891"/>
          <c:h val="9.05560403017774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'N1 a N5'!$A$34</c:f>
              <c:strCache>
                <c:ptCount val="1"/>
                <c:pt idx="0">
                  <c:v>RECEITA TRIBUTARIA</c:v>
                </c:pt>
              </c:strCache>
            </c:strRef>
          </c:tx>
          <c:spPr>
            <a:ln w="19050" cap="rnd">
              <a:solidFill>
                <a:schemeClr val="accent1"/>
              </a:solidFill>
              <a:round/>
            </a:ln>
            <a:effectLst/>
          </c:spPr>
          <c:marker>
            <c:symbol val="none"/>
          </c:marker>
          <c:cat>
            <c:strRef>
              <c:f>'N1 a N5'!$B$33:$W$33</c:f>
              <c:strCache>
                <c:ptCount val="2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strCache>
            </c:strRef>
          </c:cat>
          <c:val>
            <c:numRef>
              <c:f>'N1 a N5'!$B$34:$W$34</c:f>
              <c:numCache>
                <c:formatCode>#,##0.00_);\(#,##0.00\)</c:formatCode>
                <c:ptCount val="22"/>
                <c:pt idx="0">
                  <c:v>19045420810.064899</c:v>
                </c:pt>
                <c:pt idx="1">
                  <c:v>20590595836.576698</c:v>
                </c:pt>
                <c:pt idx="2">
                  <c:v>21369312832.709801</c:v>
                </c:pt>
                <c:pt idx="3">
                  <c:v>20358426905.293201</c:v>
                </c:pt>
                <c:pt idx="4">
                  <c:v>21308053342.594601</c:v>
                </c:pt>
                <c:pt idx="5">
                  <c:v>20826043539.106499</c:v>
                </c:pt>
                <c:pt idx="6">
                  <c:v>21924579200.010601</c:v>
                </c:pt>
                <c:pt idx="7">
                  <c:v>23687697279.931198</c:v>
                </c:pt>
                <c:pt idx="8">
                  <c:v>22788041136.370602</c:v>
                </c:pt>
                <c:pt idx="9">
                  <c:v>22248589204.286499</c:v>
                </c:pt>
                <c:pt idx="10">
                  <c:v>22048649588.745399</c:v>
                </c:pt>
                <c:pt idx="11">
                  <c:v>24065351243.535</c:v>
                </c:pt>
                <c:pt idx="12">
                  <c:v>25269409049.186199</c:v>
                </c:pt>
                <c:pt idx="13">
                  <c:v>25348836288.739899</c:v>
                </c:pt>
                <c:pt idx="14">
                  <c:v>27395437985.989201</c:v>
                </c:pt>
                <c:pt idx="15">
                  <c:v>28098932222.0681</c:v>
                </c:pt>
                <c:pt idx="16">
                  <c:v>31886702964.778099</c:v>
                </c:pt>
                <c:pt idx="17">
                  <c:v>31295993118.149101</c:v>
                </c:pt>
                <c:pt idx="18">
                  <c:v>32264721701.008301</c:v>
                </c:pt>
                <c:pt idx="19">
                  <c:v>34906376880.504303</c:v>
                </c:pt>
                <c:pt idx="20">
                  <c:v>35724030103.639801</c:v>
                </c:pt>
                <c:pt idx="21">
                  <c:v>34933054709.3517</c:v>
                </c:pt>
              </c:numCache>
            </c:numRef>
          </c:val>
          <c:smooth val="0"/>
        </c:ser>
        <c:ser>
          <c:idx val="1"/>
          <c:order val="1"/>
          <c:tx>
            <c:strRef>
              <c:f>'N1 a N5'!$A$35</c:f>
              <c:strCache>
                <c:ptCount val="1"/>
                <c:pt idx="0">
                  <c:v>RECEITA DE CONTRIBUICOES</c:v>
                </c:pt>
              </c:strCache>
            </c:strRef>
          </c:tx>
          <c:spPr>
            <a:ln w="6350" cap="rnd">
              <a:solidFill>
                <a:schemeClr val="accent2"/>
              </a:solidFill>
              <a:round/>
            </a:ln>
            <a:effectLst/>
          </c:spPr>
          <c:marker>
            <c:symbol val="none"/>
          </c:marker>
          <c:cat>
            <c:strRef>
              <c:f>'N1 a N5'!$B$33:$W$33</c:f>
              <c:strCache>
                <c:ptCount val="2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strCache>
            </c:strRef>
          </c:cat>
          <c:val>
            <c:numRef>
              <c:f>'N1 a N5'!$B$35:$W$35</c:f>
              <c:numCache>
                <c:formatCode>General</c:formatCode>
                <c:ptCount val="22"/>
                <c:pt idx="2" formatCode="#,##0.00_);\(#,##0.00\)">
                  <c:v>293991251.1904</c:v>
                </c:pt>
                <c:pt idx="3" formatCode="#,##0.00_);\(#,##0.00\)">
                  <c:v>275110177.17589998</c:v>
                </c:pt>
                <c:pt idx="4" formatCode="#,##0.00_);\(#,##0.00\)">
                  <c:v>289692968.64780003</c:v>
                </c:pt>
                <c:pt idx="5" formatCode="#,##0.00_);\(#,##0.00\)">
                  <c:v>269214860.3326</c:v>
                </c:pt>
                <c:pt idx="6" formatCode="#,##0.00_);\(#,##0.00\)">
                  <c:v>1908448739.4899001</c:v>
                </c:pt>
                <c:pt idx="7" formatCode="#,##0.00_);\(#,##0.00\)">
                  <c:v>1804930982.4072001</c:v>
                </c:pt>
                <c:pt idx="8" formatCode="#,##0.00_);\(#,##0.00\)">
                  <c:v>1757662253.2372999</c:v>
                </c:pt>
                <c:pt idx="9" formatCode="#,##0.00_);\(#,##0.00\)">
                  <c:v>1543378551.6119001</c:v>
                </c:pt>
                <c:pt idx="10" formatCode="#,##0.00_);\(#,##0.00\)">
                  <c:v>1744998207.5332</c:v>
                </c:pt>
                <c:pt idx="11" formatCode="#,##0.00_);\(#,##0.00\)">
                  <c:v>1787876208.3051</c:v>
                </c:pt>
                <c:pt idx="12" formatCode="#,##0.00_);\(#,##0.00\)">
                  <c:v>1891457302.6549001</c:v>
                </c:pt>
                <c:pt idx="13" formatCode="#,##0.00_);\(#,##0.00\)">
                  <c:v>1988851207.2955</c:v>
                </c:pt>
                <c:pt idx="14" formatCode="#,##0.00_);\(#,##0.00\)">
                  <c:v>1872796044.6901</c:v>
                </c:pt>
                <c:pt idx="15" formatCode="#,##0.00_);\(#,##0.00\)">
                  <c:v>2010476877.6433001</c:v>
                </c:pt>
                <c:pt idx="16" formatCode="#,##0.00_);\(#,##0.00\)">
                  <c:v>2071198232.6348</c:v>
                </c:pt>
                <c:pt idx="17" formatCode="#,##0.00_);\(#,##0.00\)">
                  <c:v>2262640765.0042</c:v>
                </c:pt>
                <c:pt idx="18" formatCode="#,##0.00_);\(#,##0.00\)">
                  <c:v>2298704552.1756001</c:v>
                </c:pt>
                <c:pt idx="19" formatCode="#,##0.00_);\(#,##0.00\)">
                  <c:v>2648079944.8397999</c:v>
                </c:pt>
                <c:pt idx="20" formatCode="#,##0.00_);\(#,##0.00\)">
                  <c:v>2965265718.4596</c:v>
                </c:pt>
                <c:pt idx="21" formatCode="#,##0.00_);\(#,##0.00\)">
                  <c:v>2914431580.7301998</c:v>
                </c:pt>
              </c:numCache>
            </c:numRef>
          </c:val>
          <c:smooth val="0"/>
        </c:ser>
        <c:ser>
          <c:idx val="2"/>
          <c:order val="2"/>
          <c:tx>
            <c:strRef>
              <c:f>'N1 a N5'!$A$36</c:f>
              <c:strCache>
                <c:ptCount val="1"/>
                <c:pt idx="0">
                  <c:v>PATRIM, AGROP, IND E SERV.</c:v>
                </c:pt>
              </c:strCache>
            </c:strRef>
          </c:tx>
          <c:spPr>
            <a:ln w="6350" cap="rnd">
              <a:solidFill>
                <a:schemeClr val="accent5"/>
              </a:solidFill>
              <a:round/>
            </a:ln>
            <a:effectLst/>
          </c:spPr>
          <c:marker>
            <c:symbol val="none"/>
          </c:marker>
          <c:cat>
            <c:strRef>
              <c:f>'N1 a N5'!$B$33:$W$33</c:f>
              <c:strCache>
                <c:ptCount val="2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strCache>
            </c:strRef>
          </c:cat>
          <c:val>
            <c:numRef>
              <c:f>'N1 a N5'!$B$36:$W$36</c:f>
              <c:numCache>
                <c:formatCode>#,##0.00_);\(#,##0.00\)</c:formatCode>
                <c:ptCount val="22"/>
                <c:pt idx="0">
                  <c:v>2455934072.4036002</c:v>
                </c:pt>
                <c:pt idx="1">
                  <c:v>1169280960.6785002</c:v>
                </c:pt>
                <c:pt idx="2">
                  <c:v>1067716911.3771</c:v>
                </c:pt>
                <c:pt idx="3">
                  <c:v>1556473756.5281</c:v>
                </c:pt>
                <c:pt idx="4">
                  <c:v>2139193608.3564</c:v>
                </c:pt>
                <c:pt idx="5">
                  <c:v>1158968800.5532</c:v>
                </c:pt>
                <c:pt idx="6">
                  <c:v>1020684522.7971001</c:v>
                </c:pt>
                <c:pt idx="7">
                  <c:v>973973517.1336</c:v>
                </c:pt>
                <c:pt idx="8">
                  <c:v>1048136858.5938001</c:v>
                </c:pt>
                <c:pt idx="9">
                  <c:v>1114618343.8606</c:v>
                </c:pt>
                <c:pt idx="10">
                  <c:v>733052201.28469992</c:v>
                </c:pt>
                <c:pt idx="11">
                  <c:v>825915183.92620003</c:v>
                </c:pt>
                <c:pt idx="12">
                  <c:v>1042029164.5213001</c:v>
                </c:pt>
                <c:pt idx="13">
                  <c:v>874283300.34450006</c:v>
                </c:pt>
                <c:pt idx="14">
                  <c:v>1189532833.1143</c:v>
                </c:pt>
                <c:pt idx="15">
                  <c:v>1415571105.5012</c:v>
                </c:pt>
                <c:pt idx="16">
                  <c:v>1234920233.6397998</c:v>
                </c:pt>
                <c:pt idx="17">
                  <c:v>1183432601.0053</c:v>
                </c:pt>
                <c:pt idx="18">
                  <c:v>1142246339.1520998</c:v>
                </c:pt>
                <c:pt idx="19">
                  <c:v>923353011.93009996</c:v>
                </c:pt>
                <c:pt idx="20">
                  <c:v>984871886.15479994</c:v>
                </c:pt>
                <c:pt idx="21">
                  <c:v>967529217.93169999</c:v>
                </c:pt>
              </c:numCache>
            </c:numRef>
          </c:val>
          <c:smooth val="0"/>
        </c:ser>
        <c:ser>
          <c:idx val="3"/>
          <c:order val="3"/>
          <c:tx>
            <c:strRef>
              <c:f>'N1 a N5'!$A$37</c:f>
              <c:strCache>
                <c:ptCount val="1"/>
                <c:pt idx="0">
                  <c:v> TRANSFERENCIAS CORRENTES</c:v>
                </c:pt>
              </c:strCache>
            </c:strRef>
          </c:tx>
          <c:spPr>
            <a:ln w="12700" cap="rnd">
              <a:solidFill>
                <a:schemeClr val="accent4"/>
              </a:solidFill>
              <a:round/>
            </a:ln>
            <a:effectLst/>
          </c:spPr>
          <c:marker>
            <c:symbol val="none"/>
          </c:marker>
          <c:cat>
            <c:strRef>
              <c:f>'N1 a N5'!$B$33:$W$33</c:f>
              <c:strCache>
                <c:ptCount val="2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strCache>
            </c:strRef>
          </c:cat>
          <c:val>
            <c:numRef>
              <c:f>'N1 a N5'!$B$37:$W$37</c:f>
              <c:numCache>
                <c:formatCode>#,##0.00_);\(#,##0.00\)</c:formatCode>
                <c:ptCount val="22"/>
                <c:pt idx="0">
                  <c:v>3487794500.8204999</c:v>
                </c:pt>
                <c:pt idx="1">
                  <c:v>3948249018.9945002</c:v>
                </c:pt>
                <c:pt idx="2">
                  <c:v>4559361447.6084003</c:v>
                </c:pt>
                <c:pt idx="3">
                  <c:v>4617390959.9359999</c:v>
                </c:pt>
                <c:pt idx="4">
                  <c:v>6113423143.7428999</c:v>
                </c:pt>
                <c:pt idx="5">
                  <c:v>5540928899.1457996</c:v>
                </c:pt>
                <c:pt idx="6">
                  <c:v>5988840139.5635996</c:v>
                </c:pt>
                <c:pt idx="7">
                  <c:v>5830473662.6001997</c:v>
                </c:pt>
                <c:pt idx="8">
                  <c:v>6455889264.7034998</c:v>
                </c:pt>
                <c:pt idx="9">
                  <c:v>5298259261.1597996</c:v>
                </c:pt>
                <c:pt idx="10">
                  <c:v>5835981347.9459</c:v>
                </c:pt>
                <c:pt idx="11">
                  <c:v>6322755160.4714003</c:v>
                </c:pt>
                <c:pt idx="12">
                  <c:v>6999867737.7742996</c:v>
                </c:pt>
                <c:pt idx="13">
                  <c:v>7396165884.9809999</c:v>
                </c:pt>
                <c:pt idx="14">
                  <c:v>8094324168.5783997</c:v>
                </c:pt>
                <c:pt idx="15">
                  <c:v>8311632458.2549</c:v>
                </c:pt>
                <c:pt idx="16">
                  <c:v>8896590351.1933002</c:v>
                </c:pt>
                <c:pt idx="17">
                  <c:v>8848283304.2728996</c:v>
                </c:pt>
                <c:pt idx="18">
                  <c:v>8521534227.3242998</c:v>
                </c:pt>
                <c:pt idx="19">
                  <c:v>8413204352.4650002</c:v>
                </c:pt>
                <c:pt idx="20">
                  <c:v>8862816308.5562</c:v>
                </c:pt>
                <c:pt idx="21">
                  <c:v>8629830925.9990005</c:v>
                </c:pt>
              </c:numCache>
            </c:numRef>
          </c:val>
          <c:smooth val="0"/>
        </c:ser>
        <c:ser>
          <c:idx val="4"/>
          <c:order val="4"/>
          <c:tx>
            <c:strRef>
              <c:f>'N1 a N5'!$A$38</c:f>
              <c:strCache>
                <c:ptCount val="1"/>
                <c:pt idx="0">
                  <c:v>OUTRAS RECEITAS CORRENTES</c:v>
                </c:pt>
              </c:strCache>
            </c:strRef>
          </c:tx>
          <c:spPr>
            <a:ln w="12700" cap="rnd">
              <a:solidFill>
                <a:schemeClr val="accent4">
                  <a:lumMod val="50000"/>
                </a:schemeClr>
              </a:solidFill>
              <a:round/>
            </a:ln>
            <a:effectLst/>
          </c:spPr>
          <c:marker>
            <c:symbol val="none"/>
          </c:marker>
          <c:cat>
            <c:strRef>
              <c:f>'N1 a N5'!$B$33:$W$33</c:f>
              <c:strCache>
                <c:ptCount val="2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strCache>
            </c:strRef>
          </c:cat>
          <c:val>
            <c:numRef>
              <c:f>'N1 a N5'!$B$38:$W$38</c:f>
              <c:numCache>
                <c:formatCode>#,##0.00_);\(#,##0.00\)</c:formatCode>
                <c:ptCount val="22"/>
                <c:pt idx="0">
                  <c:v>817559250.60660005</c:v>
                </c:pt>
                <c:pt idx="1">
                  <c:v>1111600464.4839001</c:v>
                </c:pt>
                <c:pt idx="2">
                  <c:v>1532383509.9732001</c:v>
                </c:pt>
                <c:pt idx="3">
                  <c:v>1373845062.5105</c:v>
                </c:pt>
                <c:pt idx="4">
                  <c:v>1825827181.2669001</c:v>
                </c:pt>
                <c:pt idx="5">
                  <c:v>1941590104.7519</c:v>
                </c:pt>
                <c:pt idx="6">
                  <c:v>1018248392.1899</c:v>
                </c:pt>
                <c:pt idx="7">
                  <c:v>1171510712.8329</c:v>
                </c:pt>
                <c:pt idx="8">
                  <c:v>2905069715.4054999</c:v>
                </c:pt>
                <c:pt idx="9">
                  <c:v>2696535543.0233002</c:v>
                </c:pt>
                <c:pt idx="10">
                  <c:v>1169740221.1756999</c:v>
                </c:pt>
                <c:pt idx="11">
                  <c:v>1148517591.641</c:v>
                </c:pt>
                <c:pt idx="12">
                  <c:v>847105178.81760001</c:v>
                </c:pt>
                <c:pt idx="13">
                  <c:v>1020120966.9888999</c:v>
                </c:pt>
                <c:pt idx="14">
                  <c:v>950338773.20079994</c:v>
                </c:pt>
                <c:pt idx="15">
                  <c:v>1322539256.8987</c:v>
                </c:pt>
                <c:pt idx="16">
                  <c:v>1736449077.6491001</c:v>
                </c:pt>
                <c:pt idx="17">
                  <c:v>1375184025.9037001</c:v>
                </c:pt>
                <c:pt idx="18">
                  <c:v>1494039329.3268001</c:v>
                </c:pt>
                <c:pt idx="19">
                  <c:v>1584681497.2579999</c:v>
                </c:pt>
                <c:pt idx="20">
                  <c:v>1878483975.9123001</c:v>
                </c:pt>
                <c:pt idx="21">
                  <c:v>1852613939.9416001</c:v>
                </c:pt>
              </c:numCache>
            </c:numRef>
          </c:val>
          <c:smooth val="0"/>
        </c:ser>
        <c:ser>
          <c:idx val="5"/>
          <c:order val="5"/>
          <c:tx>
            <c:strRef>
              <c:f>'N1 a N5'!$A$39</c:f>
              <c:strCache>
                <c:ptCount val="1"/>
                <c:pt idx="0">
                  <c:v>RECEITAS DE CAPITAL</c:v>
                </c:pt>
              </c:strCache>
            </c:strRef>
          </c:tx>
          <c:spPr>
            <a:ln w="12700" cap="rnd">
              <a:solidFill>
                <a:schemeClr val="accent6"/>
              </a:solidFill>
              <a:round/>
            </a:ln>
            <a:effectLst/>
          </c:spPr>
          <c:marker>
            <c:symbol val="none"/>
          </c:marker>
          <c:cat>
            <c:strRef>
              <c:f>'N1 a N5'!$B$33:$W$33</c:f>
              <c:strCache>
                <c:ptCount val="2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strCache>
            </c:strRef>
          </c:cat>
          <c:val>
            <c:numRef>
              <c:f>'N1 a N5'!$B$39:$W$39</c:f>
              <c:numCache>
                <c:formatCode>#,##0.00_);\(#,##0.00\)</c:formatCode>
                <c:ptCount val="22"/>
                <c:pt idx="0">
                  <c:v>5536045254.9482002</c:v>
                </c:pt>
                <c:pt idx="1">
                  <c:v>5670731918.5481005</c:v>
                </c:pt>
                <c:pt idx="2">
                  <c:v>11772050692.095301</c:v>
                </c:pt>
                <c:pt idx="3">
                  <c:v>17678773595.158798</c:v>
                </c:pt>
                <c:pt idx="4">
                  <c:v>27000281154.213001</c:v>
                </c:pt>
                <c:pt idx="5">
                  <c:v>1473158926.9426</c:v>
                </c:pt>
                <c:pt idx="6">
                  <c:v>3268192419.5977001</c:v>
                </c:pt>
                <c:pt idx="7">
                  <c:v>1963260426.8306</c:v>
                </c:pt>
                <c:pt idx="8">
                  <c:v>1499856754.7434001</c:v>
                </c:pt>
                <c:pt idx="9">
                  <c:v>945642738.24179995</c:v>
                </c:pt>
                <c:pt idx="10">
                  <c:v>881327146.73000002</c:v>
                </c:pt>
                <c:pt idx="11">
                  <c:v>354742790.33710003</c:v>
                </c:pt>
                <c:pt idx="12">
                  <c:v>625932503.45130002</c:v>
                </c:pt>
                <c:pt idx="13">
                  <c:v>2437744437.4868002</c:v>
                </c:pt>
                <c:pt idx="14">
                  <c:v>2037619276.3422999</c:v>
                </c:pt>
                <c:pt idx="15">
                  <c:v>376495685.30150002</c:v>
                </c:pt>
                <c:pt idx="16">
                  <c:v>1549196368.6478</c:v>
                </c:pt>
                <c:pt idx="17">
                  <c:v>511782709.21179998</c:v>
                </c:pt>
                <c:pt idx="18">
                  <c:v>1393164851.4468</c:v>
                </c:pt>
                <c:pt idx="19">
                  <c:v>1092269909.2349</c:v>
                </c:pt>
                <c:pt idx="20">
                  <c:v>3060119339.8052001</c:v>
                </c:pt>
                <c:pt idx="21">
                  <c:v>464354778.48559999</c:v>
                </c:pt>
              </c:numCache>
            </c:numRef>
          </c:val>
          <c:smooth val="0"/>
        </c:ser>
        <c:dLbls>
          <c:showLegendKey val="0"/>
          <c:showVal val="0"/>
          <c:showCatName val="0"/>
          <c:showSerName val="0"/>
          <c:showPercent val="0"/>
          <c:showBubbleSize val="0"/>
        </c:dLbls>
        <c:smooth val="0"/>
        <c:axId val="402792416"/>
        <c:axId val="402795552"/>
      </c:lineChart>
      <c:catAx>
        <c:axId val="40279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2795552"/>
        <c:crosses val="autoZero"/>
        <c:auto val="1"/>
        <c:lblAlgn val="ctr"/>
        <c:lblOffset val="100"/>
        <c:noMultiLvlLbl val="0"/>
      </c:catAx>
      <c:valAx>
        <c:axId val="402795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402792416"/>
        <c:crosses val="autoZero"/>
        <c:crossBetween val="between"/>
        <c:dispUnits>
          <c:builtInUnit val="b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bg1">
          <a:lumMod val="85000"/>
          <a:alpha val="9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20" b="0" i="0" u="none" strike="noStrike" kern="1200" spc="0" baseline="0">
                <a:solidFill>
                  <a:schemeClr val="tx1">
                    <a:lumMod val="65000"/>
                    <a:lumOff val="35000"/>
                  </a:schemeClr>
                </a:solidFill>
                <a:latin typeface="+mn-lt"/>
                <a:ea typeface="+mn-ea"/>
                <a:cs typeface="+mn-cs"/>
              </a:defRPr>
            </a:pPr>
            <a:r>
              <a:rPr lang="pt-BR"/>
              <a:t>Receitas x Despesas</a:t>
            </a:r>
          </a:p>
        </c:rich>
      </c:tx>
      <c:layout>
        <c:manualLayout>
          <c:xMode val="edge"/>
          <c:yMode val="edge"/>
          <c:x val="0.43553695660807185"/>
          <c:y val="2.2727272727272728E-2"/>
        </c:manualLayout>
      </c:layout>
      <c:overlay val="0"/>
      <c:spPr>
        <a:noFill/>
        <a:ln>
          <a:noFill/>
        </a:ln>
        <a:effectLst/>
      </c:spPr>
      <c:txPr>
        <a:bodyPr rot="0" spcFirstLastPara="1" vertOverflow="ellipsis" vert="horz" wrap="square" anchor="ctr" anchorCtr="1"/>
        <a:lstStyle/>
        <a:p>
          <a:pPr>
            <a:defRPr sz="72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strRef>
              <c:f>'Rec x Despesas'!$E$25</c:f>
              <c:strCache>
                <c:ptCount val="1"/>
                <c:pt idx="0">
                  <c:v>Receitas</c:v>
                </c:pt>
              </c:strCache>
            </c:strRef>
          </c:tx>
          <c:spPr>
            <a:ln w="12700" cap="rnd">
              <a:solidFill>
                <a:srgbClr val="00B0F0"/>
              </a:solidFill>
              <a:round/>
            </a:ln>
            <a:effectLst/>
          </c:spPr>
          <c:marker>
            <c:symbol val="none"/>
          </c:marker>
          <c:cat>
            <c:strRef>
              <c:f>'Rec x Despesas'!$F$24:$AA$24</c:f>
              <c:strCache>
                <c:ptCount val="2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strCache>
            </c:strRef>
          </c:cat>
          <c:val>
            <c:numRef>
              <c:f>'Rec x Despesas'!$F$25:$AA$25</c:f>
              <c:numCache>
                <c:formatCode>_("R$"* #,##0.00_);_("R$"* \(#,##0.00\);_("R$"* "-"??_);_(@_)</c:formatCode>
                <c:ptCount val="22"/>
                <c:pt idx="0">
                  <c:v>30851256160.0508</c:v>
                </c:pt>
                <c:pt idx="1">
                  <c:v>31980962879.593102</c:v>
                </c:pt>
                <c:pt idx="2">
                  <c:v>39958233776.305199</c:v>
                </c:pt>
                <c:pt idx="3">
                  <c:v>45140871910.2761</c:v>
                </c:pt>
                <c:pt idx="4">
                  <c:v>57756343176.249001</c:v>
                </c:pt>
                <c:pt idx="5">
                  <c:v>30720490654.291302</c:v>
                </c:pt>
                <c:pt idx="6">
                  <c:v>34578122212.639</c:v>
                </c:pt>
                <c:pt idx="7">
                  <c:v>34876226224.1987</c:v>
                </c:pt>
                <c:pt idx="8">
                  <c:v>35882996559.536797</c:v>
                </c:pt>
                <c:pt idx="9">
                  <c:v>30029510169.977501</c:v>
                </c:pt>
                <c:pt idx="10">
                  <c:v>28703961562.509399</c:v>
                </c:pt>
                <c:pt idx="11">
                  <c:v>31222991736.965099</c:v>
                </c:pt>
                <c:pt idx="12">
                  <c:v>33317932270.318501</c:v>
                </c:pt>
                <c:pt idx="13">
                  <c:v>35325473882.893402</c:v>
                </c:pt>
                <c:pt idx="14">
                  <c:v>37094719257.461502</c:v>
                </c:pt>
                <c:pt idx="15">
                  <c:v>36674218595.438904</c:v>
                </c:pt>
                <c:pt idx="16">
                  <c:v>41918548624.634499</c:v>
                </c:pt>
                <c:pt idx="17">
                  <c:v>39999525534.8657</c:v>
                </c:pt>
                <c:pt idx="18">
                  <c:v>41518844801.806503</c:v>
                </c:pt>
                <c:pt idx="19">
                  <c:v>43636130861.714401</c:v>
                </c:pt>
                <c:pt idx="20">
                  <c:v>47374522212.333099</c:v>
                </c:pt>
                <c:pt idx="21">
                  <c:v>43723934175.883904</c:v>
                </c:pt>
              </c:numCache>
            </c:numRef>
          </c:val>
          <c:smooth val="1"/>
        </c:ser>
        <c:ser>
          <c:idx val="1"/>
          <c:order val="1"/>
          <c:tx>
            <c:strRef>
              <c:f>'Rec x Despesas'!$E$26</c:f>
              <c:strCache>
                <c:ptCount val="1"/>
                <c:pt idx="0">
                  <c:v>Despesas</c:v>
                </c:pt>
              </c:strCache>
            </c:strRef>
          </c:tx>
          <c:spPr>
            <a:ln w="12700" cap="rnd">
              <a:solidFill>
                <a:srgbClr val="FF0000"/>
              </a:solidFill>
              <a:round/>
            </a:ln>
            <a:effectLst/>
          </c:spPr>
          <c:marker>
            <c:symbol val="none"/>
          </c:marker>
          <c:cat>
            <c:strRef>
              <c:f>'Rec x Despesas'!$F$24:$AA$24</c:f>
              <c:strCache>
                <c:ptCount val="22"/>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pt idx="21">
                  <c:v>2015</c:v>
                </c:pt>
              </c:strCache>
            </c:strRef>
          </c:cat>
          <c:val>
            <c:numRef>
              <c:f>'Rec x Despesas'!$F$26:$AA$26</c:f>
              <c:numCache>
                <c:formatCode>_("R$"* #,##0.00_);_("R$"* \(#,##0.00\);_("R$"* "-"??_);_(@_)</c:formatCode>
                <c:ptCount val="22"/>
                <c:pt idx="0">
                  <c:v>30856925702.032501</c:v>
                </c:pt>
                <c:pt idx="1">
                  <c:v>34359695808.828201</c:v>
                </c:pt>
                <c:pt idx="2">
                  <c:v>40108907091.1548</c:v>
                </c:pt>
                <c:pt idx="3">
                  <c:v>43075433964.298599</c:v>
                </c:pt>
                <c:pt idx="4">
                  <c:v>52158210732.931503</c:v>
                </c:pt>
                <c:pt idx="5">
                  <c:v>31546282172.143002</c:v>
                </c:pt>
                <c:pt idx="6">
                  <c:v>34999116902.481201</c:v>
                </c:pt>
                <c:pt idx="7">
                  <c:v>35487466498.751198</c:v>
                </c:pt>
                <c:pt idx="8">
                  <c:v>34296347443.9394</c:v>
                </c:pt>
                <c:pt idx="9">
                  <c:v>31248344164.135899</c:v>
                </c:pt>
                <c:pt idx="10">
                  <c:v>30825498307.281799</c:v>
                </c:pt>
                <c:pt idx="11">
                  <c:v>33301222123.622898</c:v>
                </c:pt>
                <c:pt idx="12">
                  <c:v>35401869390.603798</c:v>
                </c:pt>
                <c:pt idx="13">
                  <c:v>34186505801.7714</c:v>
                </c:pt>
                <c:pt idx="14">
                  <c:v>36421385749.060204</c:v>
                </c:pt>
                <c:pt idx="15">
                  <c:v>36672127158.290298</c:v>
                </c:pt>
                <c:pt idx="16">
                  <c:v>42229414916.921997</c:v>
                </c:pt>
                <c:pt idx="17">
                  <c:v>40662877849.547699</c:v>
                </c:pt>
                <c:pt idx="18">
                  <c:v>42347045652.057198</c:v>
                </c:pt>
                <c:pt idx="19">
                  <c:v>45353790489.852997</c:v>
                </c:pt>
                <c:pt idx="20">
                  <c:v>48753135006.545303</c:v>
                </c:pt>
                <c:pt idx="21">
                  <c:v>48576128461.620102</c:v>
                </c:pt>
              </c:numCache>
            </c:numRef>
          </c:val>
          <c:smooth val="1"/>
        </c:ser>
        <c:dLbls>
          <c:showLegendKey val="0"/>
          <c:showVal val="0"/>
          <c:showCatName val="0"/>
          <c:showSerName val="0"/>
          <c:showPercent val="0"/>
          <c:showBubbleSize val="0"/>
        </c:dLbls>
        <c:smooth val="0"/>
        <c:axId val="402794768"/>
        <c:axId val="402794376"/>
      </c:lineChart>
      <c:catAx>
        <c:axId val="40279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402794376"/>
        <c:crosses val="autoZero"/>
        <c:auto val="1"/>
        <c:lblAlgn val="ctr"/>
        <c:lblOffset val="100"/>
        <c:noMultiLvlLbl val="0"/>
      </c:catAx>
      <c:valAx>
        <c:axId val="402794376"/>
        <c:scaling>
          <c:orientation val="minMax"/>
          <c:min val="20000000000"/>
        </c:scaling>
        <c:delete val="0"/>
        <c:axPos val="l"/>
        <c:majorGridlines>
          <c:spPr>
            <a:ln w="9525" cap="flat" cmpd="sng" algn="ctr">
              <a:solidFill>
                <a:schemeClr val="tx1">
                  <a:lumMod val="15000"/>
                  <a:lumOff val="85000"/>
                </a:schemeClr>
              </a:solidFill>
              <a:round/>
            </a:ln>
            <a:effectLst/>
          </c:spPr>
        </c:majorGridlines>
        <c:numFmt formatCode="_(&quot;R$&quot;* #,##0_);_(&quot;R$&quot;* \(#,##0\);_(&quot;R$&quot;* &quot;-&quot;_);_(@_)"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402794768"/>
        <c:crosses val="autoZero"/>
        <c:crossBetween val="between"/>
        <c:dispUnits>
          <c:builtInUnit val="billions"/>
          <c:dispUnitsLbl>
            <c:spPr>
              <a:noFill/>
              <a:ln>
                <a:noFill/>
              </a:ln>
              <a:effectLst/>
            </c:spPr>
            <c:txPr>
              <a:bodyPr rot="-54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strRef>
              <c:f>Plan1!$C$1</c:f>
              <c:strCache>
                <c:ptCount val="1"/>
                <c:pt idx="0">
                  <c:v>Despesa Total / PIB</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cat>
            <c:numRef>
              <c:f>Plan1!$A$2:$A$46</c:f>
              <c:numCache>
                <c:formatCode>General</c:formatCode>
                <c:ptCount val="45"/>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pt idx="37">
                  <c:v>2008</c:v>
                </c:pt>
                <c:pt idx="38">
                  <c:v>2009</c:v>
                </c:pt>
                <c:pt idx="39">
                  <c:v>2010</c:v>
                </c:pt>
                <c:pt idx="40">
                  <c:v>2011</c:v>
                </c:pt>
                <c:pt idx="41">
                  <c:v>2012</c:v>
                </c:pt>
                <c:pt idx="42">
                  <c:v>2013</c:v>
                </c:pt>
                <c:pt idx="43">
                  <c:v>2014</c:v>
                </c:pt>
                <c:pt idx="44">
                  <c:v>2015</c:v>
                </c:pt>
              </c:numCache>
            </c:numRef>
          </c:cat>
          <c:val>
            <c:numRef>
              <c:f>Plan1!$C$2:$C$46</c:f>
              <c:numCache>
                <c:formatCode>0.00%</c:formatCode>
                <c:ptCount val="45"/>
                <c:pt idx="0">
                  <c:v>9.8500000000000004E-2</c:v>
                </c:pt>
                <c:pt idx="1">
                  <c:v>9.9699999999999997E-2</c:v>
                </c:pt>
                <c:pt idx="2">
                  <c:v>9.1399999999999995E-2</c:v>
                </c:pt>
                <c:pt idx="3">
                  <c:v>8.9300000000000004E-2</c:v>
                </c:pt>
                <c:pt idx="4">
                  <c:v>9.9299999999999999E-2</c:v>
                </c:pt>
                <c:pt idx="5">
                  <c:v>8.8800000000000004E-2</c:v>
                </c:pt>
                <c:pt idx="6">
                  <c:v>8.1600000000000006E-2</c:v>
                </c:pt>
                <c:pt idx="7">
                  <c:v>8.4199999999999997E-2</c:v>
                </c:pt>
                <c:pt idx="8">
                  <c:v>8.4000000000000005E-2</c:v>
                </c:pt>
                <c:pt idx="9">
                  <c:v>8.0500000000000002E-2</c:v>
                </c:pt>
                <c:pt idx="10">
                  <c:v>9.4600000000000004E-2</c:v>
                </c:pt>
                <c:pt idx="11">
                  <c:v>0.1158</c:v>
                </c:pt>
                <c:pt idx="12">
                  <c:v>0.1108</c:v>
                </c:pt>
                <c:pt idx="13">
                  <c:v>0.1019</c:v>
                </c:pt>
                <c:pt idx="14">
                  <c:v>0.14979999999999999</c:v>
                </c:pt>
                <c:pt idx="15">
                  <c:v>0.12529999999999999</c:v>
                </c:pt>
                <c:pt idx="16">
                  <c:v>0.1143</c:v>
                </c:pt>
                <c:pt idx="17">
                  <c:v>9.8900000000000002E-2</c:v>
                </c:pt>
                <c:pt idx="18">
                  <c:v>9.6799999999999997E-2</c:v>
                </c:pt>
                <c:pt idx="19">
                  <c:v>0.129</c:v>
                </c:pt>
                <c:pt idx="20">
                  <c:v>0.1057</c:v>
                </c:pt>
                <c:pt idx="21">
                  <c:v>0.1197</c:v>
                </c:pt>
                <c:pt idx="22">
                  <c:v>0.1139</c:v>
                </c:pt>
                <c:pt idx="23">
                  <c:v>0.12280000000000001</c:v>
                </c:pt>
                <c:pt idx="24">
                  <c:v>0.1222</c:v>
                </c:pt>
                <c:pt idx="25">
                  <c:v>0.1333</c:v>
                </c:pt>
                <c:pt idx="26">
                  <c:v>0.1394</c:v>
                </c:pt>
                <c:pt idx="27">
                  <c:v>0.18260000000000001</c:v>
                </c:pt>
                <c:pt idx="28">
                  <c:v>0.1181</c:v>
                </c:pt>
                <c:pt idx="29">
                  <c:v>0.11990000000000001</c:v>
                </c:pt>
                <c:pt idx="30">
                  <c:v>0.1216</c:v>
                </c:pt>
                <c:pt idx="31">
                  <c:v>0.1196</c:v>
                </c:pt>
                <c:pt idx="32">
                  <c:v>0.1142</c:v>
                </c:pt>
                <c:pt idx="33">
                  <c:v>0.11169999999999999</c:v>
                </c:pt>
                <c:pt idx="34">
                  <c:v>0.12189999999999999</c:v>
                </c:pt>
                <c:pt idx="35">
                  <c:v>0.1212</c:v>
                </c:pt>
                <c:pt idx="36">
                  <c:v>0.1105</c:v>
                </c:pt>
                <c:pt idx="37">
                  <c:v>0.11609999999999999</c:v>
                </c:pt>
                <c:pt idx="38">
                  <c:v>0.10970000000000001</c:v>
                </c:pt>
                <c:pt idx="39">
                  <c:v>0.114</c:v>
                </c:pt>
                <c:pt idx="40">
                  <c:v>0.1142</c:v>
                </c:pt>
                <c:pt idx="41">
                  <c:v>0.1197</c:v>
                </c:pt>
                <c:pt idx="42">
                  <c:v>0.1215</c:v>
                </c:pt>
                <c:pt idx="43">
                  <c:v>0.12889999999999999</c:v>
                </c:pt>
                <c:pt idx="44">
                  <c:v>0.1293</c:v>
                </c:pt>
              </c:numCache>
            </c:numRef>
          </c:val>
          <c:smooth val="0"/>
        </c:ser>
        <c:dLbls>
          <c:showLegendKey val="0"/>
          <c:showVal val="0"/>
          <c:showCatName val="0"/>
          <c:showSerName val="0"/>
          <c:showPercent val="0"/>
          <c:showBubbleSize val="0"/>
        </c:dLbls>
        <c:marker val="1"/>
        <c:smooth val="0"/>
        <c:axId val="402789280"/>
        <c:axId val="402789672"/>
      </c:lineChart>
      <c:catAx>
        <c:axId val="40278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2789672"/>
        <c:crosses val="autoZero"/>
        <c:auto val="1"/>
        <c:lblAlgn val="ctr"/>
        <c:lblOffset val="100"/>
        <c:noMultiLvlLbl val="0"/>
      </c:catAx>
      <c:valAx>
        <c:axId val="402789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02789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pt-BR" sz="1100" b="1" i="0" baseline="0">
                <a:effectLst/>
              </a:rPr>
              <a:t>Despesa por Grupo - 2000 - 2015</a:t>
            </a:r>
            <a:endParaRPr lang="pt-BR" sz="1100">
              <a:effectLst/>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9.6327918849501246E-2"/>
          <c:y val="0.1689749430523918"/>
          <c:w val="0.87912946624643806"/>
          <c:h val="0.55687012358079391"/>
        </c:manualLayout>
      </c:layout>
      <c:lineChart>
        <c:grouping val="standard"/>
        <c:varyColors val="0"/>
        <c:ser>
          <c:idx val="0"/>
          <c:order val="0"/>
          <c:tx>
            <c:strRef>
              <c:f>'ExOrc Rubrica 163 (2)'!$A$27</c:f>
              <c:strCache>
                <c:ptCount val="1"/>
                <c:pt idx="0">
                  <c:v>PESSOAL E ENCARGOS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'ExOrc Rubrica 163 (2)'!$B$18:$W$18</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(2)'!$B$27:$W$27</c:f>
              <c:numCache>
                <c:formatCode>#,##0.00_);\(#,##0.00\)</c:formatCode>
                <c:ptCount val="16"/>
                <c:pt idx="0">
                  <c:v>17733843025.567101</c:v>
                </c:pt>
                <c:pt idx="1">
                  <c:v>17811454085.6106</c:v>
                </c:pt>
                <c:pt idx="2">
                  <c:v>18074780370.122501</c:v>
                </c:pt>
                <c:pt idx="3">
                  <c:v>16878172141.722</c:v>
                </c:pt>
                <c:pt idx="4">
                  <c:v>16089543058.0236</c:v>
                </c:pt>
                <c:pt idx="5">
                  <c:v>16571980405.240499</c:v>
                </c:pt>
                <c:pt idx="6">
                  <c:v>18220633326.335602</c:v>
                </c:pt>
                <c:pt idx="7">
                  <c:v>18013090740.057201</c:v>
                </c:pt>
                <c:pt idx="8">
                  <c:v>17554004299.3479</c:v>
                </c:pt>
                <c:pt idx="9">
                  <c:v>19587577607.484692</c:v>
                </c:pt>
                <c:pt idx="10">
                  <c:v>21037355544.029701</c:v>
                </c:pt>
                <c:pt idx="11">
                  <c:v>20722657941.302498</c:v>
                </c:pt>
                <c:pt idx="12">
                  <c:v>21433276320.170898</c:v>
                </c:pt>
                <c:pt idx="13">
                  <c:v>23013206171.1525</c:v>
                </c:pt>
                <c:pt idx="14">
                  <c:v>24957119169.597599</c:v>
                </c:pt>
                <c:pt idx="15">
                  <c:v>25894746807.23</c:v>
                </c:pt>
              </c:numCache>
            </c:numRef>
          </c:val>
          <c:smooth val="0"/>
        </c:ser>
        <c:ser>
          <c:idx val="1"/>
          <c:order val="1"/>
          <c:tx>
            <c:strRef>
              <c:f>'ExOrc Rubrica 163 (2)'!$A$28</c:f>
              <c:strCache>
                <c:ptCount val="1"/>
                <c:pt idx="0">
                  <c:v>JUROS E AMORTIZAÇÃO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'ExOrc Rubrica 163 (2)'!$B$18:$W$18</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(2)'!$B$28:$W$28</c:f>
              <c:numCache>
                <c:formatCode>#,##0.00_ ;\-#,##0.00\ </c:formatCode>
                <c:ptCount val="16"/>
                <c:pt idx="0">
                  <c:v>2877554083.8210001</c:v>
                </c:pt>
                <c:pt idx="1">
                  <c:v>2983086066.5671</c:v>
                </c:pt>
                <c:pt idx="2">
                  <c:v>3275444479.5376997</c:v>
                </c:pt>
                <c:pt idx="3">
                  <c:v>3116801431.7623997</c:v>
                </c:pt>
                <c:pt idx="4">
                  <c:v>2931049327.0953002</c:v>
                </c:pt>
                <c:pt idx="5">
                  <c:v>3252518216.1374998</c:v>
                </c:pt>
                <c:pt idx="6">
                  <c:v>3311979342.2410002</c:v>
                </c:pt>
                <c:pt idx="7">
                  <c:v>3245070428.1149001</c:v>
                </c:pt>
                <c:pt idx="8">
                  <c:v>5027958023.7634001</c:v>
                </c:pt>
                <c:pt idx="9">
                  <c:v>3311389216.6985998</c:v>
                </c:pt>
                <c:pt idx="10">
                  <c:v>4382012675.5838003</c:v>
                </c:pt>
                <c:pt idx="11">
                  <c:v>3426879094.2529998</c:v>
                </c:pt>
                <c:pt idx="12">
                  <c:v>3466700131.7982998</c:v>
                </c:pt>
                <c:pt idx="13">
                  <c:v>3521622660.3413</c:v>
                </c:pt>
                <c:pt idx="14">
                  <c:v>3777896007.2104998</c:v>
                </c:pt>
                <c:pt idx="15">
                  <c:v>4042880851.4338002</c:v>
                </c:pt>
              </c:numCache>
            </c:numRef>
          </c:val>
          <c:smooth val="0"/>
        </c:ser>
        <c:ser>
          <c:idx val="2"/>
          <c:order val="2"/>
          <c:tx>
            <c:strRef>
              <c:f>'ExOrc Rubrica 163 (2)'!$A$29</c:f>
              <c:strCache>
                <c:ptCount val="1"/>
                <c:pt idx="0">
                  <c:v>OUTRAS DESPESAS CORRENTES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'ExOrc Rubrica 163 (2)'!$B$18:$W$18</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(2)'!$B$29:$W$29</c:f>
              <c:numCache>
                <c:formatCode>#,##0.00_);\(#,##0.00\)</c:formatCode>
                <c:ptCount val="16"/>
                <c:pt idx="0">
                  <c:v>12094365991.7932</c:v>
                </c:pt>
                <c:pt idx="1">
                  <c:v>13228857532.0735</c:v>
                </c:pt>
                <c:pt idx="2">
                  <c:v>12141370242.929001</c:v>
                </c:pt>
                <c:pt idx="3">
                  <c:v>9953129708.3255997</c:v>
                </c:pt>
                <c:pt idx="4">
                  <c:v>10878603748.150101</c:v>
                </c:pt>
                <c:pt idx="5">
                  <c:v>12717895734.934</c:v>
                </c:pt>
                <c:pt idx="6">
                  <c:v>13063618837.486799</c:v>
                </c:pt>
                <c:pt idx="7">
                  <c:v>12649453899.824699</c:v>
                </c:pt>
                <c:pt idx="8">
                  <c:v>13248768438.872999</c:v>
                </c:pt>
                <c:pt idx="9">
                  <c:v>13183261961.513407</c:v>
                </c:pt>
                <c:pt idx="10">
                  <c:v>14423054058.5473</c:v>
                </c:pt>
                <c:pt idx="11">
                  <c:v>15509243432.785397</c:v>
                </c:pt>
                <c:pt idx="12">
                  <c:v>16398854093.8248</c:v>
                </c:pt>
                <c:pt idx="13">
                  <c:v>17636442819.618999</c:v>
                </c:pt>
                <c:pt idx="14">
                  <c:v>18566917915.337299</c:v>
                </c:pt>
                <c:pt idx="15">
                  <c:v>18376806488.768002</c:v>
                </c:pt>
              </c:numCache>
            </c:numRef>
          </c:val>
          <c:smooth val="0"/>
        </c:ser>
        <c:ser>
          <c:idx val="3"/>
          <c:order val="3"/>
          <c:tx>
            <c:strRef>
              <c:f>'ExOrc Rubrica 163 (2)'!$A$30</c:f>
              <c:strCache>
                <c:ptCount val="1"/>
                <c:pt idx="0">
                  <c:v>INVESTIMENTOS E INVERSÕES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'ExOrc Rubrica 163 (2)'!$B$18:$W$18</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(2)'!$B$30:$W$30</c:f>
              <c:numCache>
                <c:formatCode>#,##0.00_ ;\-#,##0.00\ </c:formatCode>
                <c:ptCount val="16"/>
                <c:pt idx="0">
                  <c:v>2721834166.2934999</c:v>
                </c:pt>
                <c:pt idx="1">
                  <c:v>1898527850.7104001</c:v>
                </c:pt>
                <c:pt idx="2">
                  <c:v>1224628987.4320998</c:v>
                </c:pt>
                <c:pt idx="3">
                  <c:v>1682802018.102</c:v>
                </c:pt>
                <c:pt idx="4">
                  <c:v>1303686574.9591999</c:v>
                </c:pt>
                <c:pt idx="5">
                  <c:v>1166521477.1338999</c:v>
                </c:pt>
                <c:pt idx="6">
                  <c:v>1239048989.1852999</c:v>
                </c:pt>
                <c:pt idx="7">
                  <c:v>697422622.01190007</c:v>
                </c:pt>
                <c:pt idx="8">
                  <c:v>1036547627.8573999</c:v>
                </c:pt>
                <c:pt idx="9">
                  <c:v>1038860741.408</c:v>
                </c:pt>
                <c:pt idx="10">
                  <c:v>2903990686.6929002</c:v>
                </c:pt>
                <c:pt idx="11">
                  <c:v>1501916934.5386</c:v>
                </c:pt>
                <c:pt idx="12">
                  <c:v>1566653260.8269</c:v>
                </c:pt>
                <c:pt idx="13">
                  <c:v>1737767382.7962999</c:v>
                </c:pt>
                <c:pt idx="14">
                  <c:v>2048067290.7614002</c:v>
                </c:pt>
                <c:pt idx="15">
                  <c:v>856392669.33249998</c:v>
                </c:pt>
              </c:numCache>
            </c:numRef>
          </c:val>
          <c:smooth val="0"/>
        </c:ser>
        <c:ser>
          <c:idx val="4"/>
          <c:order val="4"/>
          <c:tx>
            <c:strRef>
              <c:f>'ExOrc Rubrica 163 (2)'!$A$31</c:f>
              <c:strCache>
                <c:ptCount val="1"/>
                <c:pt idx="0">
                  <c:v>ODC - TRANFERÊNCIAS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extLst>
                <c:ext xmlns:c15="http://schemas.microsoft.com/office/drawing/2012/chart" uri="{02D57815-91ED-43cb-92C2-25804820EDAC}">
                  <c15:autoCat val="1"/>
                </c:ext>
              </c:extLst>
            </c:strLit>
          </c:cat>
          <c:val>
            <c:numRef>
              <c:f>'ExOrc Rubrica 163 (2)'!$B$31:$W$31</c:f>
              <c:numCache>
                <c:formatCode>#,##0.00_);\(#,##0.00\)</c:formatCode>
                <c:ptCount val="16"/>
                <c:pt idx="0">
                  <c:v>5430397818.7636995</c:v>
                </c:pt>
                <c:pt idx="1">
                  <c:v>5911415148.2248001</c:v>
                </c:pt>
                <c:pt idx="2">
                  <c:v>5464403930.7220001</c:v>
                </c:pt>
                <c:pt idx="3">
                  <c:v>4607422826.5022001</c:v>
                </c:pt>
                <c:pt idx="4">
                  <c:v>5798905284.0387001</c:v>
                </c:pt>
                <c:pt idx="5">
                  <c:v>6221632952.0340004</c:v>
                </c:pt>
                <c:pt idx="6">
                  <c:v>6436099665.9938002</c:v>
                </c:pt>
                <c:pt idx="7">
                  <c:v>6109611980.1883001</c:v>
                </c:pt>
                <c:pt idx="8">
                  <c:v>6117504039.5937996</c:v>
                </c:pt>
                <c:pt idx="9">
                  <c:v>6752270999.1446762</c:v>
                </c:pt>
                <c:pt idx="10">
                  <c:v>7363416106.7154036</c:v>
                </c:pt>
                <c:pt idx="11">
                  <c:v>7174662858.3213844</c:v>
                </c:pt>
                <c:pt idx="12">
                  <c:v>7671895324.7525997</c:v>
                </c:pt>
                <c:pt idx="13">
                  <c:v>8951040627.4374008</c:v>
                </c:pt>
                <c:pt idx="14">
                  <c:v>9700918150.8857002</c:v>
                </c:pt>
                <c:pt idx="15">
                  <c:v>9557308207.9974003</c:v>
                </c:pt>
              </c:numCache>
            </c:numRef>
          </c:val>
          <c:smooth val="0"/>
        </c:ser>
        <c:dLbls>
          <c:showLegendKey val="0"/>
          <c:showVal val="0"/>
          <c:showCatName val="0"/>
          <c:showSerName val="0"/>
          <c:showPercent val="0"/>
          <c:showBubbleSize val="0"/>
        </c:dLbls>
        <c:marker val="1"/>
        <c:smooth val="0"/>
        <c:axId val="514316928"/>
        <c:axId val="514317320"/>
      </c:lineChart>
      <c:catAx>
        <c:axId val="51431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14317320"/>
        <c:crosses val="autoZero"/>
        <c:auto val="1"/>
        <c:lblAlgn val="ctr"/>
        <c:lblOffset val="100"/>
        <c:noMultiLvlLbl val="0"/>
      </c:catAx>
      <c:valAx>
        <c:axId val="514317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514316928"/>
        <c:crosses val="autoZero"/>
        <c:crossBetween val="between"/>
        <c:dispUnits>
          <c:builtInUnit val="b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b"/>
      <c:layout>
        <c:manualLayout>
          <c:xMode val="edge"/>
          <c:yMode val="edge"/>
          <c:x val="3.2216178800943053E-2"/>
          <c:y val="0.8490872240058831"/>
          <c:w val="0.93333649558865384"/>
          <c:h val="0.1281337327139346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'ExOrc Rubrica 163 (5)'!$A$100</c:f>
              <c:strCache>
                <c:ptCount val="1"/>
                <c:pt idx="0">
                  <c:v>ENCARGOS ESPECIAIS</c:v>
                </c:pt>
              </c:strCache>
            </c:strRef>
          </c:tx>
          <c:spPr>
            <a:solidFill>
              <a:schemeClr val="accent1"/>
            </a:solidFill>
            <a:ln>
              <a:noFill/>
            </a:ln>
            <a:effectLst/>
          </c:spPr>
          <c:invertIfNegative val="0"/>
          <c:cat>
            <c:strRef>
              <c:f>'ExOrc Rubrica 163 (5)'!$B$99:$Q$99</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(5)'!$B$100:$Q$100</c:f>
              <c:numCache>
                <c:formatCode>0%</c:formatCode>
                <c:ptCount val="16"/>
                <c:pt idx="0">
                  <c:v>0.39892336816486429</c:v>
                </c:pt>
                <c:pt idx="1">
                  <c:v>0.47410454854260187</c:v>
                </c:pt>
                <c:pt idx="2">
                  <c:v>0.41051183187150475</c:v>
                </c:pt>
                <c:pt idx="3">
                  <c:v>0.38061548380871141</c:v>
                </c:pt>
                <c:pt idx="4">
                  <c:v>0.31445739212727608</c:v>
                </c:pt>
                <c:pt idx="5">
                  <c:v>0.3204832656195496</c:v>
                </c:pt>
                <c:pt idx="6">
                  <c:v>0.31352054966315551</c:v>
                </c:pt>
                <c:pt idx="7">
                  <c:v>0.31033690037096689</c:v>
                </c:pt>
                <c:pt idx="8">
                  <c:v>0.35674436558334</c:v>
                </c:pt>
                <c:pt idx="9">
                  <c:v>0.32049134291336817</c:v>
                </c:pt>
                <c:pt idx="10">
                  <c:v>0.32722156335794317</c:v>
                </c:pt>
                <c:pt idx="11">
                  <c:v>0.3041958650414866</c:v>
                </c:pt>
                <c:pt idx="12">
                  <c:v>0.30486084081006021</c:v>
                </c:pt>
                <c:pt idx="13">
                  <c:v>0.29688339313649498</c:v>
                </c:pt>
                <c:pt idx="14">
                  <c:v>0.28969643455013083</c:v>
                </c:pt>
                <c:pt idx="15">
                  <c:v>0.29514040184722823</c:v>
                </c:pt>
              </c:numCache>
            </c:numRef>
          </c:val>
        </c:ser>
        <c:ser>
          <c:idx val="1"/>
          <c:order val="1"/>
          <c:tx>
            <c:strRef>
              <c:f>'ExOrc Rubrica 163 (5)'!$A$101</c:f>
              <c:strCache>
                <c:ptCount val="1"/>
                <c:pt idx="0">
                  <c:v>PREVIDÊNCIA SOCIAL</c:v>
                </c:pt>
              </c:strCache>
            </c:strRef>
          </c:tx>
          <c:spPr>
            <a:solidFill>
              <a:schemeClr val="accent2"/>
            </a:solidFill>
            <a:ln>
              <a:noFill/>
            </a:ln>
            <a:effectLst/>
          </c:spPr>
          <c:invertIfNegative val="0"/>
          <c:cat>
            <c:strRef>
              <c:f>'ExOrc Rubrica 163 (5)'!$B$99:$Q$99</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(5)'!$B$101:$Q$101</c:f>
              <c:numCache>
                <c:formatCode>0%</c:formatCode>
                <c:ptCount val="16"/>
                <c:pt idx="0">
                  <c:v>7.5470888434047048E-2</c:v>
                </c:pt>
                <c:pt idx="1">
                  <c:v>4.9793756508673778E-2</c:v>
                </c:pt>
                <c:pt idx="2">
                  <c:v>5.4399912181989515E-2</c:v>
                </c:pt>
                <c:pt idx="3">
                  <c:v>6.955202232532752E-2</c:v>
                </c:pt>
                <c:pt idx="4">
                  <c:v>0.160096818185746</c:v>
                </c:pt>
                <c:pt idx="5">
                  <c:v>0.22945829634460474</c:v>
                </c:pt>
                <c:pt idx="6">
                  <c:v>0.23541648501076759</c:v>
                </c:pt>
                <c:pt idx="7">
                  <c:v>0.25511895757610809</c:v>
                </c:pt>
                <c:pt idx="8">
                  <c:v>0.16392163841511861</c:v>
                </c:pt>
                <c:pt idx="9">
                  <c:v>0.24776315193568269</c:v>
                </c:pt>
                <c:pt idx="10">
                  <c:v>0.22833512747753756</c:v>
                </c:pt>
                <c:pt idx="11">
                  <c:v>0.25136245245811678</c:v>
                </c:pt>
                <c:pt idx="12">
                  <c:v>0.24723203864727661</c:v>
                </c:pt>
                <c:pt idx="13">
                  <c:v>0.2433548014476552</c:v>
                </c:pt>
                <c:pt idx="14">
                  <c:v>0.24464674662979638</c:v>
                </c:pt>
                <c:pt idx="15">
                  <c:v>0.25596278189328309</c:v>
                </c:pt>
              </c:numCache>
            </c:numRef>
          </c:val>
        </c:ser>
        <c:ser>
          <c:idx val="2"/>
          <c:order val="2"/>
          <c:tx>
            <c:strRef>
              <c:f>'ExOrc Rubrica 163 (5)'!$A$102</c:f>
              <c:strCache>
                <c:ptCount val="1"/>
                <c:pt idx="0">
                  <c:v>SAÚDE</c:v>
                </c:pt>
              </c:strCache>
            </c:strRef>
          </c:tx>
          <c:spPr>
            <a:solidFill>
              <a:schemeClr val="accent3"/>
            </a:solidFill>
            <a:ln>
              <a:noFill/>
            </a:ln>
            <a:effectLst/>
          </c:spPr>
          <c:invertIfNegative val="0"/>
          <c:cat>
            <c:strRef>
              <c:f>'ExOrc Rubrica 163 (5)'!$B$99:$Q$99</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(5)'!$B$102:$Q$102</c:f>
              <c:numCache>
                <c:formatCode>0%</c:formatCode>
                <c:ptCount val="16"/>
                <c:pt idx="0">
                  <c:v>4.5206932854537071E-2</c:v>
                </c:pt>
                <c:pt idx="1">
                  <c:v>7.4707274049481368E-2</c:v>
                </c:pt>
                <c:pt idx="2">
                  <c:v>7.09412085745105E-2</c:v>
                </c:pt>
                <c:pt idx="3">
                  <c:v>6.4141339969167044E-2</c:v>
                </c:pt>
                <c:pt idx="4">
                  <c:v>8.7816221667527256E-2</c:v>
                </c:pt>
                <c:pt idx="5">
                  <c:v>8.4120681010175613E-2</c:v>
                </c:pt>
                <c:pt idx="6">
                  <c:v>8.0018112869441854E-2</c:v>
                </c:pt>
                <c:pt idx="7">
                  <c:v>8.5881758520255702E-2</c:v>
                </c:pt>
                <c:pt idx="8">
                  <c:v>8.6160659686592769E-2</c:v>
                </c:pt>
                <c:pt idx="9">
                  <c:v>9.3588248259087792E-2</c:v>
                </c:pt>
                <c:pt idx="10">
                  <c:v>9.5018212728936222E-2</c:v>
                </c:pt>
                <c:pt idx="11">
                  <c:v>0.10139931796629315</c:v>
                </c:pt>
                <c:pt idx="12">
                  <c:v>0.1027757929512971</c:v>
                </c:pt>
                <c:pt idx="13">
                  <c:v>0.11480558136576234</c:v>
                </c:pt>
                <c:pt idx="14">
                  <c:v>0.11252331101244789</c:v>
                </c:pt>
                <c:pt idx="15">
                  <c:v>0.10695118530396625</c:v>
                </c:pt>
              </c:numCache>
            </c:numRef>
          </c:val>
        </c:ser>
        <c:ser>
          <c:idx val="3"/>
          <c:order val="3"/>
          <c:tx>
            <c:strRef>
              <c:f>'ExOrc Rubrica 163 (5)'!$A$103</c:f>
              <c:strCache>
                <c:ptCount val="1"/>
                <c:pt idx="0">
                  <c:v>EDUCAÇÃO</c:v>
                </c:pt>
              </c:strCache>
            </c:strRef>
          </c:tx>
          <c:spPr>
            <a:solidFill>
              <a:schemeClr val="accent4"/>
            </a:solidFill>
            <a:ln>
              <a:noFill/>
            </a:ln>
            <a:effectLst/>
          </c:spPr>
          <c:invertIfNegative val="0"/>
          <c:cat>
            <c:strRef>
              <c:f>'ExOrc Rubrica 163 (5)'!$B$99:$Q$99</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(5)'!$B$103:$Q$103</c:f>
              <c:numCache>
                <c:formatCode>0%</c:formatCode>
                <c:ptCount val="16"/>
                <c:pt idx="0">
                  <c:v>0.1876364604517593</c:v>
                </c:pt>
                <c:pt idx="1">
                  <c:v>0.13059457130699359</c:v>
                </c:pt>
                <c:pt idx="2">
                  <c:v>0.19687038150682826</c:v>
                </c:pt>
                <c:pt idx="3">
                  <c:v>0.18919703337248969</c:v>
                </c:pt>
                <c:pt idx="4">
                  <c:v>0.150120548306725</c:v>
                </c:pt>
                <c:pt idx="5">
                  <c:v>0.10251320929737415</c:v>
                </c:pt>
                <c:pt idx="6">
                  <c:v>0.10351948994128458</c:v>
                </c:pt>
                <c:pt idx="7">
                  <c:v>9.8579497042734235E-2</c:v>
                </c:pt>
                <c:pt idx="8">
                  <c:v>0.1606075145361959</c:v>
                </c:pt>
                <c:pt idx="9">
                  <c:v>9.0397895135917811E-2</c:v>
                </c:pt>
                <c:pt idx="10">
                  <c:v>7.9636419622091517E-2</c:v>
                </c:pt>
                <c:pt idx="11">
                  <c:v>8.2724880013913343E-2</c:v>
                </c:pt>
                <c:pt idx="12">
                  <c:v>8.7688057867174499E-2</c:v>
                </c:pt>
                <c:pt idx="13">
                  <c:v>9.2386146017610929E-2</c:v>
                </c:pt>
                <c:pt idx="14">
                  <c:v>8.9764914743540272E-2</c:v>
                </c:pt>
                <c:pt idx="15">
                  <c:v>9.662773820954873E-2</c:v>
                </c:pt>
              </c:numCache>
            </c:numRef>
          </c:val>
        </c:ser>
        <c:ser>
          <c:idx val="4"/>
          <c:order val="4"/>
          <c:tx>
            <c:strRef>
              <c:f>'ExOrc Rubrica 163 (5)'!$A$104</c:f>
              <c:strCache>
                <c:ptCount val="1"/>
                <c:pt idx="0">
                  <c:v>SEGURANÇA PÚBLICA</c:v>
                </c:pt>
              </c:strCache>
            </c:strRef>
          </c:tx>
          <c:spPr>
            <a:solidFill>
              <a:schemeClr val="accent5"/>
            </a:solidFill>
            <a:ln>
              <a:noFill/>
            </a:ln>
            <a:effectLst/>
          </c:spPr>
          <c:invertIfNegative val="0"/>
          <c:cat>
            <c:strRef>
              <c:f>'ExOrc Rubrica 163 (5)'!$B$99:$Q$99</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(5)'!$B$104:$Q$104</c:f>
              <c:numCache>
                <c:formatCode>0%</c:formatCode>
                <c:ptCount val="16"/>
                <c:pt idx="0">
                  <c:v>7.297915978704049E-2</c:v>
                </c:pt>
                <c:pt idx="1">
                  <c:v>7.5098671843335296E-2</c:v>
                </c:pt>
                <c:pt idx="2">
                  <c:v>7.3637508757596365E-2</c:v>
                </c:pt>
                <c:pt idx="3">
                  <c:v>8.0566505243128014E-2</c:v>
                </c:pt>
                <c:pt idx="4">
                  <c:v>6.4035782783284756E-2</c:v>
                </c:pt>
                <c:pt idx="5">
                  <c:v>7.2481913443545168E-2</c:v>
                </c:pt>
                <c:pt idx="6">
                  <c:v>7.5336449162668948E-2</c:v>
                </c:pt>
                <c:pt idx="7">
                  <c:v>7.8668234518557506E-2</c:v>
                </c:pt>
                <c:pt idx="8">
                  <c:v>5.9629094468231433E-2</c:v>
                </c:pt>
                <c:pt idx="9">
                  <c:v>6.3288336192273267E-2</c:v>
                </c:pt>
                <c:pt idx="10">
                  <c:v>6.338927425386677E-2</c:v>
                </c:pt>
                <c:pt idx="11">
                  <c:v>6.2423738294876505E-2</c:v>
                </c:pt>
                <c:pt idx="12">
                  <c:v>6.6416287107728539E-2</c:v>
                </c:pt>
                <c:pt idx="13">
                  <c:v>6.7723490186904559E-2</c:v>
                </c:pt>
                <c:pt idx="14">
                  <c:v>7.0327146467543858E-2</c:v>
                </c:pt>
                <c:pt idx="15">
                  <c:v>6.7180608205187925E-2</c:v>
                </c:pt>
              </c:numCache>
            </c:numRef>
          </c:val>
        </c:ser>
        <c:ser>
          <c:idx val="7"/>
          <c:order val="7"/>
          <c:tx>
            <c:strRef>
              <c:f>'ExOrc Rubrica 163 (5)'!$A$105</c:f>
              <c:strCache>
                <c:ptCount val="1"/>
                <c:pt idx="0">
                  <c:v>DEMAIS FUNÇÕES</c:v>
                </c:pt>
              </c:strCache>
            </c:strRef>
          </c:tx>
          <c:spPr>
            <a:solidFill>
              <a:schemeClr val="accent2">
                <a:lumMod val="60000"/>
              </a:schemeClr>
            </a:solidFill>
            <a:ln>
              <a:noFill/>
            </a:ln>
            <a:effectLst/>
          </c:spPr>
          <c:invertIfNegative val="0"/>
          <c:cat>
            <c:strRef>
              <c:f>'ExOrc Rubrica 163 (5)'!$B$99:$Q$99</c:f>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f>'ExOrc Rubrica 163 (5)'!$B$105:$Q$105</c:f>
              <c:numCache>
                <c:formatCode>0%</c:formatCode>
                <c:ptCount val="16"/>
                <c:pt idx="0">
                  <c:v>0.21978319030775184</c:v>
                </c:pt>
                <c:pt idx="1">
                  <c:v>0.19570117774891405</c:v>
                </c:pt>
                <c:pt idx="2">
                  <c:v>0.19363915710757063</c:v>
                </c:pt>
                <c:pt idx="3">
                  <c:v>0.21592761528117632</c:v>
                </c:pt>
                <c:pt idx="4">
                  <c:v>0.22347323692944099</c:v>
                </c:pt>
                <c:pt idx="5">
                  <c:v>0.19094263428475078</c:v>
                </c:pt>
                <c:pt idx="6">
                  <c:v>0.19218891335268162</c:v>
                </c:pt>
                <c:pt idx="7">
                  <c:v>0.17141465197137751</c:v>
                </c:pt>
                <c:pt idx="8">
                  <c:v>0.17293672731052123</c:v>
                </c:pt>
                <c:pt idx="9">
                  <c:v>0.18447102556367034</c:v>
                </c:pt>
                <c:pt idx="10">
                  <c:v>0.20639940255962475</c:v>
                </c:pt>
                <c:pt idx="11">
                  <c:v>0.19789374622531364</c:v>
                </c:pt>
                <c:pt idx="12">
                  <c:v>0.19102698261646311</c:v>
                </c:pt>
                <c:pt idx="13">
                  <c:v>0.18484658784557195</c:v>
                </c:pt>
                <c:pt idx="14">
                  <c:v>0.19304144659654077</c:v>
                </c:pt>
                <c:pt idx="15">
                  <c:v>0.17813728454078581</c:v>
                </c:pt>
              </c:numCache>
            </c:numRef>
          </c:val>
        </c:ser>
        <c:dLbls>
          <c:showLegendKey val="0"/>
          <c:showVal val="0"/>
          <c:showCatName val="0"/>
          <c:showSerName val="0"/>
          <c:showPercent val="0"/>
          <c:showBubbleSize val="0"/>
        </c:dLbls>
        <c:gapWidth val="300"/>
        <c:overlap val="100"/>
        <c:serLines>
          <c:spPr>
            <a:ln w="9525" cap="flat" cmpd="sng" algn="ctr">
              <a:solidFill>
                <a:schemeClr val="tx1">
                  <a:lumMod val="35000"/>
                  <a:lumOff val="65000"/>
                </a:schemeClr>
              </a:solidFill>
              <a:round/>
            </a:ln>
            <a:effectLst/>
          </c:spPr>
        </c:serLines>
        <c:axId val="514318888"/>
        <c:axId val="514319280"/>
        <c:extLst>
          <c:ext xmlns:c15="http://schemas.microsoft.com/office/drawing/2012/chart" uri="{02D57815-91ED-43cb-92C2-25804820EDAC}">
            <c15:filteredBarSeries>
              <c15:ser>
                <c:idx val="5"/>
                <c:order val="5"/>
                <c:tx>
                  <c:strRef>
                    <c:extLst>
                      <c:ext uri="{02D57815-91ED-43cb-92C2-25804820EDAC}">
                        <c15:formulaRef>
                          <c15:sqref>'ExOrc Rubrica 163 (5)'!#REF!</c15:sqref>
                        </c15:formulaRef>
                      </c:ext>
                    </c:extLst>
                    <c:strCache>
                      <c:ptCount val="1"/>
                      <c:pt idx="0">
                        <c:v>#REF!</c:v>
                      </c:pt>
                    </c:strCache>
                  </c:strRef>
                </c:tx>
                <c:spPr>
                  <a:solidFill>
                    <a:schemeClr val="accent6"/>
                  </a:solidFill>
                  <a:ln>
                    <a:noFill/>
                  </a:ln>
                  <a:effectLst/>
                </c:spPr>
                <c:invertIfNegative val="0"/>
                <c:cat>
                  <c:strRef>
                    <c:extLst>
                      <c:ext uri="{02D57815-91ED-43cb-92C2-25804820EDAC}">
                        <c15:formulaRef>
                          <c15:sqref>'ExOrc Rubrica 163 (5)'!$B$99:$Q$99</c15:sqref>
                        </c15:formulaRef>
                      </c:ext>
                    </c:extLst>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extLst>
                      <c:ext uri="{02D57815-91ED-43cb-92C2-25804820EDAC}">
                        <c15:formulaRef>
                          <c15:sqref>'ExOrc Rubrica 163 (5)'!#REF!</c15:sqref>
                        </c15:formulaRef>
                      </c:ext>
                    </c:extLst>
                    <c:numCache>
                      <c:formatCode>General</c:formatCode>
                      <c:ptCount val="1"/>
                      <c:pt idx="0">
                        <c:v>1</c:v>
                      </c:pt>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'ExOrc Rubrica 163 (5)'!#REF!</c15:sqref>
                        </c15:formulaRef>
                      </c:ext>
                    </c:extLst>
                    <c:strCache>
                      <c:ptCount val="1"/>
                      <c:pt idx="0">
                        <c:v>#REF!</c:v>
                      </c:pt>
                    </c:strCache>
                  </c:strRef>
                </c:tx>
                <c:spPr>
                  <a:solidFill>
                    <a:schemeClr val="accent1">
                      <a:lumMod val="60000"/>
                    </a:schemeClr>
                  </a:solidFill>
                  <a:ln>
                    <a:noFill/>
                  </a:ln>
                  <a:effectLst/>
                </c:spPr>
                <c:invertIfNegative val="0"/>
                <c:cat>
                  <c:strRef>
                    <c:extLst xmlns:c15="http://schemas.microsoft.com/office/drawing/2012/chart">
                      <c:ext xmlns:c15="http://schemas.microsoft.com/office/drawing/2012/chart" uri="{02D57815-91ED-43cb-92C2-25804820EDAC}">
                        <c15:formulaRef>
                          <c15:sqref>'ExOrc Rubrica 163 (5)'!$B$99:$Q$99</c15:sqref>
                        </c15:formulaRef>
                      </c:ext>
                    </c:extLst>
                    <c:strCach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strCache>
                  </c:strRef>
                </c:cat>
                <c:val>
                  <c:numRef>
                    <c:extLst xmlns:c15="http://schemas.microsoft.com/office/drawing/2012/chart">
                      <c:ext xmlns:c15="http://schemas.microsoft.com/office/drawing/2012/chart" uri="{02D57815-91ED-43cb-92C2-25804820EDAC}">
                        <c15:formulaRef>
                          <c15:sqref>'ExOrc Rubrica 163 (5)'!#REF!</c15:sqref>
                        </c15:formulaRef>
                      </c:ext>
                    </c:extLst>
                    <c:numCache>
                      <c:formatCode>General</c:formatCode>
                      <c:ptCount val="1"/>
                      <c:pt idx="0">
                        <c:v>1</c:v>
                      </c:pt>
                    </c:numCache>
                  </c:numRef>
                </c:val>
              </c15:ser>
            </c15:filteredBarSeries>
          </c:ext>
        </c:extLst>
      </c:barChart>
      <c:catAx>
        <c:axId val="514318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514319280"/>
        <c:crosses val="autoZero"/>
        <c:auto val="1"/>
        <c:lblAlgn val="ctr"/>
        <c:lblOffset val="100"/>
        <c:noMultiLvlLbl val="0"/>
      </c:catAx>
      <c:valAx>
        <c:axId val="514319280"/>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514318888"/>
        <c:crosses val="autoZero"/>
        <c:crossBetween val="between"/>
        <c:majorUnit val="0.1"/>
      </c:valAx>
      <c:spPr>
        <a:noFill/>
        <a:ln>
          <a:noFill/>
        </a:ln>
        <a:effectLst/>
      </c:spPr>
    </c:plotArea>
    <c:legend>
      <c:legendPos val="r"/>
      <c:layout>
        <c:manualLayout>
          <c:xMode val="edge"/>
          <c:yMode val="edge"/>
          <c:x val="0.81185756204751203"/>
          <c:y val="0.10745207822382857"/>
          <c:w val="0.16388653914006637"/>
          <c:h val="0.7531110720341098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'Capacidade de Investir'!$A$62</c:f>
              <c:strCache>
                <c:ptCount val="1"/>
                <c:pt idx="0">
                  <c:v>Capacide de Investir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'Capacidade de Investir'!$G$59:$W$59</c:f>
              <c:numCache>
                <c:formatCode>0</c:formatCod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numCache>
            </c:numRef>
          </c:cat>
          <c:val>
            <c:numRef>
              <c:f>'Capacidade de Investir'!$G$62:$W$62</c:f>
              <c:numCache>
                <c:formatCode>0.0%</c:formatCode>
                <c:ptCount val="13"/>
                <c:pt idx="0">
                  <c:v>3.1586596664184861E-2</c:v>
                </c:pt>
                <c:pt idx="1">
                  <c:v>2.5443658225904744E-2</c:v>
                </c:pt>
                <c:pt idx="2">
                  <c:v>2.5391786502413177E-2</c:v>
                </c:pt>
                <c:pt idx="3">
                  <c:v>2.374787253930034E-2</c:v>
                </c:pt>
                <c:pt idx="4">
                  <c:v>2.7239935171705545E-2</c:v>
                </c:pt>
                <c:pt idx="5">
                  <c:v>3.7545714303301961E-2</c:v>
                </c:pt>
                <c:pt idx="6">
                  <c:v>3.6012803875411108E-2</c:v>
                </c:pt>
                <c:pt idx="7">
                  <c:v>3.9438554215307502E-2</c:v>
                </c:pt>
                <c:pt idx="8">
                  <c:v>3.6664392267362185E-2</c:v>
                </c:pt>
                <c:pt idx="9">
                  <c:v>2.987367261556827E-2</c:v>
                </c:pt>
                <c:pt idx="10">
                  <c:v>2.7337727899477905E-2</c:v>
                </c:pt>
                <c:pt idx="11">
                  <c:v>2.460172696992273E-2</c:v>
                </c:pt>
                <c:pt idx="12">
                  <c:v>1.966956257618041E-2</c:v>
                </c:pt>
              </c:numCache>
            </c:numRef>
          </c:val>
          <c:smooth val="0"/>
        </c:ser>
        <c:dLbls>
          <c:showLegendKey val="0"/>
          <c:showVal val="0"/>
          <c:showCatName val="0"/>
          <c:showSerName val="0"/>
          <c:showPercent val="0"/>
          <c:showBubbleSize val="0"/>
        </c:dLbls>
        <c:marker val="1"/>
        <c:smooth val="0"/>
        <c:axId val="514330256"/>
        <c:axId val="514330648"/>
      </c:lineChart>
      <c:catAx>
        <c:axId val="514330256"/>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514330648"/>
        <c:crosses val="autoZero"/>
        <c:auto val="1"/>
        <c:lblAlgn val="ctr"/>
        <c:lblOffset val="100"/>
        <c:noMultiLvlLbl val="0"/>
      </c:catAx>
      <c:valAx>
        <c:axId val="514330648"/>
        <c:scaling>
          <c:orientation val="minMax"/>
          <c:max val="4.0000000000000008E-2"/>
          <c:min val="1.5000000000000003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t-BR"/>
          </a:p>
        </c:txPr>
        <c:crossAx val="51433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288DF-27CA-4D27-970B-9566A431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5040</Words>
  <Characters>27220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Secretaria da Fazenda - RS</Company>
  <LinksUpToDate>false</LinksUpToDate>
  <CharactersWithSpaces>32196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 Braatz</dc:creator>
  <cp:lastModifiedBy>Jaco Braatz</cp:lastModifiedBy>
  <cp:revision>5</cp:revision>
  <cp:lastPrinted>2016-07-06T14:21:00Z</cp:lastPrinted>
  <dcterms:created xsi:type="dcterms:W3CDTF">2016-10-31T12:05:00Z</dcterms:created>
  <dcterms:modified xsi:type="dcterms:W3CDTF">2016-11-11T13:59:00Z</dcterms:modified>
</cp:coreProperties>
</file>