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24" w:rsidRPr="00AF7A90" w:rsidRDefault="00972F5F" w:rsidP="00EB38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>A</w:t>
      </w:r>
      <w:r w:rsidR="00B77B24" w:rsidRPr="00AF7A90">
        <w:rPr>
          <w:rFonts w:ascii="Times New Roman" w:hAnsi="Times New Roman" w:cs="Times New Roman"/>
          <w:b/>
          <w:sz w:val="24"/>
          <w:szCs w:val="24"/>
        </w:rPr>
        <w:t xml:space="preserve"> indústria do biodiesel no Rio Grande do Sul</w:t>
      </w:r>
      <w:r w:rsidRPr="00AF7A90">
        <w:rPr>
          <w:rFonts w:ascii="Times New Roman" w:hAnsi="Times New Roman" w:cs="Times New Roman"/>
          <w:b/>
          <w:sz w:val="24"/>
          <w:szCs w:val="24"/>
        </w:rPr>
        <w:t>: desafios e oportunidades</w:t>
      </w:r>
    </w:p>
    <w:p w:rsidR="00C836D9" w:rsidRDefault="00C836D9" w:rsidP="009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051" w:rsidRDefault="00C45CAD" w:rsidP="00AF0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2D3051" w:rsidRDefault="002D3051" w:rsidP="00AF0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6D9" w:rsidRDefault="00F25941" w:rsidP="00AF0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A27E0">
        <w:rPr>
          <w:rFonts w:ascii="Times New Roman" w:hAnsi="Times New Roman" w:cs="Times New Roman"/>
          <w:sz w:val="24"/>
          <w:szCs w:val="24"/>
        </w:rPr>
        <w:t xml:space="preserve"> principal</w:t>
      </w:r>
      <w:r>
        <w:rPr>
          <w:rFonts w:ascii="Times New Roman" w:hAnsi="Times New Roman" w:cs="Times New Roman"/>
          <w:sz w:val="24"/>
          <w:szCs w:val="24"/>
        </w:rPr>
        <w:t xml:space="preserve"> objetivo desse artigo é descrever a evolução recente da indústria</w:t>
      </w:r>
      <w:r w:rsidR="00D25A5B">
        <w:rPr>
          <w:rFonts w:ascii="Times New Roman" w:hAnsi="Times New Roman" w:cs="Times New Roman"/>
          <w:sz w:val="24"/>
          <w:szCs w:val="24"/>
        </w:rPr>
        <w:t xml:space="preserve"> brasileira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27E0">
        <w:rPr>
          <w:rFonts w:ascii="Times New Roman" w:hAnsi="Times New Roman" w:cs="Times New Roman"/>
          <w:sz w:val="24"/>
          <w:szCs w:val="24"/>
        </w:rPr>
        <w:t xml:space="preserve">gaúcha </w:t>
      </w:r>
      <w:r w:rsidR="005140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biodiesel e avaliar os principais desafios e oportunidades de crescimento que se vislumbra</w:t>
      </w:r>
      <w:r w:rsidR="00606B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para o setor </w:t>
      </w:r>
      <w:r w:rsidR="00B0398C">
        <w:rPr>
          <w:rFonts w:ascii="Times New Roman" w:hAnsi="Times New Roman" w:cs="Times New Roman"/>
          <w:sz w:val="24"/>
          <w:szCs w:val="24"/>
        </w:rPr>
        <w:t>até 2020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06BCC">
        <w:rPr>
          <w:rFonts w:ascii="Times New Roman" w:hAnsi="Times New Roman" w:cs="Times New Roman"/>
          <w:sz w:val="24"/>
          <w:szCs w:val="24"/>
        </w:rPr>
        <w:t xml:space="preserve"> A</w:t>
      </w:r>
      <w:r w:rsidR="008213AC">
        <w:rPr>
          <w:rFonts w:ascii="Times New Roman" w:hAnsi="Times New Roman" w:cs="Times New Roman"/>
          <w:sz w:val="24"/>
          <w:szCs w:val="24"/>
        </w:rPr>
        <w:t xml:space="preserve"> perspectiva de crescimento </w:t>
      </w:r>
      <w:r w:rsidR="00606BCC">
        <w:rPr>
          <w:rFonts w:ascii="Times New Roman" w:hAnsi="Times New Roman" w:cs="Times New Roman"/>
          <w:sz w:val="24"/>
          <w:szCs w:val="24"/>
        </w:rPr>
        <w:t xml:space="preserve">acelerado </w:t>
      </w:r>
      <w:r w:rsidR="008213AC">
        <w:rPr>
          <w:rFonts w:ascii="Times New Roman" w:hAnsi="Times New Roman" w:cs="Times New Roman"/>
          <w:sz w:val="24"/>
          <w:szCs w:val="24"/>
        </w:rPr>
        <w:t>da demanda por biocombustíveis no Brasil e no mundo e a elevação do consumo de farelos protéicos nos países em desenvolvimento são fatores que</w:t>
      </w:r>
      <w:r w:rsidR="005140D3">
        <w:rPr>
          <w:rFonts w:ascii="Times New Roman" w:hAnsi="Times New Roman" w:cs="Times New Roman"/>
          <w:sz w:val="24"/>
          <w:szCs w:val="24"/>
        </w:rPr>
        <w:t>,</w:t>
      </w:r>
      <w:r w:rsidR="008213AC">
        <w:rPr>
          <w:rFonts w:ascii="Times New Roman" w:hAnsi="Times New Roman" w:cs="Times New Roman"/>
          <w:sz w:val="24"/>
          <w:szCs w:val="24"/>
        </w:rPr>
        <w:t xml:space="preserve"> combinados</w:t>
      </w:r>
      <w:r w:rsidR="005140D3">
        <w:rPr>
          <w:rFonts w:ascii="Times New Roman" w:hAnsi="Times New Roman" w:cs="Times New Roman"/>
          <w:sz w:val="24"/>
          <w:szCs w:val="24"/>
        </w:rPr>
        <w:t>, potencializam</w:t>
      </w:r>
      <w:r w:rsidR="008213AC">
        <w:rPr>
          <w:rFonts w:ascii="Times New Roman" w:hAnsi="Times New Roman" w:cs="Times New Roman"/>
          <w:sz w:val="24"/>
          <w:szCs w:val="24"/>
        </w:rPr>
        <w:t xml:space="preserve"> o desenvolvimento da indústria brasileira </w:t>
      </w:r>
      <w:r w:rsidR="00606BCC">
        <w:rPr>
          <w:rFonts w:ascii="Times New Roman" w:hAnsi="Times New Roman" w:cs="Times New Roman"/>
          <w:sz w:val="24"/>
          <w:szCs w:val="24"/>
        </w:rPr>
        <w:t xml:space="preserve">de biodiesel </w:t>
      </w:r>
      <w:r w:rsidR="008213AC">
        <w:rPr>
          <w:rFonts w:ascii="Times New Roman" w:hAnsi="Times New Roman" w:cs="Times New Roman"/>
          <w:sz w:val="24"/>
          <w:szCs w:val="24"/>
        </w:rPr>
        <w:t>nos próximos anos.</w:t>
      </w:r>
      <w:r w:rsidR="000C2BEF">
        <w:rPr>
          <w:rFonts w:ascii="Times New Roman" w:hAnsi="Times New Roman" w:cs="Times New Roman"/>
          <w:sz w:val="24"/>
          <w:szCs w:val="24"/>
        </w:rPr>
        <w:t xml:space="preserve"> </w:t>
      </w:r>
      <w:r w:rsidR="008F79FC">
        <w:rPr>
          <w:rFonts w:ascii="Times New Roman" w:hAnsi="Times New Roman" w:cs="Times New Roman"/>
          <w:sz w:val="24"/>
          <w:szCs w:val="24"/>
        </w:rPr>
        <w:t>O</w:t>
      </w:r>
      <w:r w:rsidR="00606BCC">
        <w:rPr>
          <w:rFonts w:ascii="Times New Roman" w:hAnsi="Times New Roman" w:cs="Times New Roman"/>
          <w:sz w:val="24"/>
          <w:szCs w:val="24"/>
        </w:rPr>
        <w:t xml:space="preserve"> estu</w:t>
      </w:r>
      <w:r w:rsidR="008F79FC">
        <w:rPr>
          <w:rFonts w:ascii="Times New Roman" w:hAnsi="Times New Roman" w:cs="Times New Roman"/>
          <w:sz w:val="24"/>
          <w:szCs w:val="24"/>
        </w:rPr>
        <w:t>do identificou razões que corroboram o pleito de aumento gradual da mistura mandat</w:t>
      </w:r>
      <w:r w:rsidR="00B0398C">
        <w:rPr>
          <w:rFonts w:ascii="Times New Roman" w:hAnsi="Times New Roman" w:cs="Times New Roman"/>
          <w:sz w:val="24"/>
          <w:szCs w:val="24"/>
        </w:rPr>
        <w:t xml:space="preserve">ória do biodiesel no diesel </w:t>
      </w:r>
      <w:r w:rsidR="00B94A40">
        <w:rPr>
          <w:rFonts w:ascii="Times New Roman" w:hAnsi="Times New Roman" w:cs="Times New Roman"/>
          <w:sz w:val="24"/>
          <w:szCs w:val="24"/>
        </w:rPr>
        <w:t>e</w:t>
      </w:r>
      <w:r w:rsidR="000D04F7">
        <w:rPr>
          <w:rFonts w:ascii="Times New Roman" w:hAnsi="Times New Roman" w:cs="Times New Roman"/>
          <w:sz w:val="24"/>
          <w:szCs w:val="24"/>
        </w:rPr>
        <w:t xml:space="preserve"> a necessidade de remover</w:t>
      </w:r>
      <w:r w:rsidR="00B94A40">
        <w:rPr>
          <w:rFonts w:ascii="Times New Roman" w:hAnsi="Times New Roman" w:cs="Times New Roman"/>
          <w:sz w:val="24"/>
          <w:szCs w:val="24"/>
        </w:rPr>
        <w:t xml:space="preserve"> </w:t>
      </w:r>
      <w:r w:rsidR="000D04F7">
        <w:rPr>
          <w:rFonts w:ascii="Times New Roman" w:hAnsi="Times New Roman" w:cs="Times New Roman"/>
          <w:sz w:val="24"/>
          <w:szCs w:val="24"/>
        </w:rPr>
        <w:t xml:space="preserve">os </w:t>
      </w:r>
      <w:r w:rsidR="00B94A40">
        <w:rPr>
          <w:rFonts w:ascii="Times New Roman" w:hAnsi="Times New Roman" w:cs="Times New Roman"/>
          <w:sz w:val="24"/>
          <w:szCs w:val="24"/>
        </w:rPr>
        <w:t>obstáculos tributários in</w:t>
      </w:r>
      <w:r w:rsidR="000D04F7">
        <w:rPr>
          <w:rFonts w:ascii="Times New Roman" w:hAnsi="Times New Roman" w:cs="Times New Roman"/>
          <w:sz w:val="24"/>
          <w:szCs w:val="24"/>
        </w:rPr>
        <w:t>ternos e tarifários externos que limitam</w:t>
      </w:r>
      <w:r w:rsidR="00B94A40">
        <w:rPr>
          <w:rFonts w:ascii="Times New Roman" w:hAnsi="Times New Roman" w:cs="Times New Roman"/>
          <w:sz w:val="24"/>
          <w:szCs w:val="24"/>
        </w:rPr>
        <w:t xml:space="preserve"> </w:t>
      </w:r>
      <w:r w:rsidR="000D04F7">
        <w:rPr>
          <w:rFonts w:ascii="Times New Roman" w:hAnsi="Times New Roman" w:cs="Times New Roman"/>
          <w:sz w:val="24"/>
          <w:szCs w:val="24"/>
        </w:rPr>
        <w:t>o processamento interno e a oferta de matéria prima. Na ausência dessas medidas,</w:t>
      </w:r>
      <w:r w:rsidR="00B94A40">
        <w:rPr>
          <w:rFonts w:ascii="Times New Roman" w:hAnsi="Times New Roman" w:cs="Times New Roman"/>
          <w:sz w:val="24"/>
          <w:szCs w:val="24"/>
        </w:rPr>
        <w:t xml:space="preserve"> </w:t>
      </w:r>
      <w:r w:rsidR="00B0398C">
        <w:rPr>
          <w:rFonts w:ascii="Times New Roman" w:hAnsi="Times New Roman" w:cs="Times New Roman"/>
          <w:sz w:val="24"/>
          <w:szCs w:val="24"/>
        </w:rPr>
        <w:t xml:space="preserve">a </w:t>
      </w:r>
      <w:r w:rsidR="00606BCC">
        <w:rPr>
          <w:rFonts w:ascii="Times New Roman" w:hAnsi="Times New Roman" w:cs="Times New Roman"/>
          <w:sz w:val="24"/>
          <w:szCs w:val="24"/>
        </w:rPr>
        <w:t xml:space="preserve">expansão sustentada da </w:t>
      </w:r>
      <w:r w:rsidR="00BA0CF2">
        <w:rPr>
          <w:rFonts w:ascii="Times New Roman" w:hAnsi="Times New Roman" w:cs="Times New Roman"/>
          <w:sz w:val="24"/>
          <w:szCs w:val="24"/>
        </w:rPr>
        <w:t>produção</w:t>
      </w:r>
      <w:r w:rsidR="00606BCC">
        <w:rPr>
          <w:rFonts w:ascii="Times New Roman" w:hAnsi="Times New Roman" w:cs="Times New Roman"/>
          <w:sz w:val="24"/>
          <w:szCs w:val="24"/>
        </w:rPr>
        <w:t xml:space="preserve"> </w:t>
      </w:r>
      <w:r w:rsidR="00B94A40">
        <w:rPr>
          <w:rFonts w:ascii="Times New Roman" w:hAnsi="Times New Roman" w:cs="Times New Roman"/>
          <w:sz w:val="24"/>
          <w:szCs w:val="24"/>
        </w:rPr>
        <w:t xml:space="preserve">do biocombustível </w:t>
      </w:r>
      <w:r w:rsidR="00606BCC">
        <w:rPr>
          <w:rFonts w:ascii="Times New Roman" w:hAnsi="Times New Roman" w:cs="Times New Roman"/>
          <w:sz w:val="24"/>
          <w:szCs w:val="24"/>
        </w:rPr>
        <w:t>no Rio Grande do Sul</w:t>
      </w:r>
      <w:r w:rsidR="000D04F7">
        <w:rPr>
          <w:rFonts w:ascii="Times New Roman" w:hAnsi="Times New Roman" w:cs="Times New Roman"/>
          <w:sz w:val="24"/>
          <w:szCs w:val="24"/>
        </w:rPr>
        <w:t xml:space="preserve"> poderá ser inviabilizada</w:t>
      </w:r>
      <w:r w:rsidR="00B94A40">
        <w:rPr>
          <w:rFonts w:ascii="Times New Roman" w:hAnsi="Times New Roman" w:cs="Times New Roman"/>
          <w:sz w:val="24"/>
          <w:szCs w:val="24"/>
        </w:rPr>
        <w:t>.</w:t>
      </w:r>
      <w:r w:rsidR="00606BCC">
        <w:rPr>
          <w:rFonts w:ascii="Times New Roman" w:hAnsi="Times New Roman" w:cs="Times New Roman"/>
          <w:sz w:val="24"/>
          <w:szCs w:val="24"/>
        </w:rPr>
        <w:t xml:space="preserve"> </w:t>
      </w:r>
      <w:r w:rsidR="00B0398C">
        <w:rPr>
          <w:rFonts w:ascii="Times New Roman" w:hAnsi="Times New Roman" w:cs="Times New Roman"/>
          <w:sz w:val="24"/>
          <w:szCs w:val="24"/>
        </w:rPr>
        <w:t>Além disso, p</w:t>
      </w:r>
      <w:r w:rsidR="00361E9F">
        <w:rPr>
          <w:rFonts w:ascii="Times New Roman" w:hAnsi="Times New Roman" w:cs="Times New Roman"/>
          <w:sz w:val="24"/>
          <w:szCs w:val="24"/>
        </w:rPr>
        <w:t>ara que o E</w:t>
      </w:r>
      <w:r w:rsidR="00606BCC">
        <w:rPr>
          <w:rFonts w:ascii="Times New Roman" w:hAnsi="Times New Roman" w:cs="Times New Roman"/>
          <w:sz w:val="24"/>
          <w:szCs w:val="24"/>
        </w:rPr>
        <w:t>stado</w:t>
      </w:r>
      <w:r w:rsidR="000C2BEF">
        <w:rPr>
          <w:rFonts w:ascii="Times New Roman" w:hAnsi="Times New Roman" w:cs="Times New Roman"/>
          <w:sz w:val="24"/>
          <w:szCs w:val="24"/>
        </w:rPr>
        <w:t xml:space="preserve"> preserve</w:t>
      </w:r>
      <w:r w:rsidR="008213AC">
        <w:rPr>
          <w:rFonts w:ascii="Times New Roman" w:hAnsi="Times New Roman" w:cs="Times New Roman"/>
          <w:sz w:val="24"/>
          <w:szCs w:val="24"/>
        </w:rPr>
        <w:t xml:space="preserve"> seu papel de protagonista na produção nacional</w:t>
      </w:r>
      <w:r w:rsidR="005140D3">
        <w:rPr>
          <w:rFonts w:ascii="Times New Roman" w:hAnsi="Times New Roman" w:cs="Times New Roman"/>
          <w:sz w:val="24"/>
          <w:szCs w:val="24"/>
        </w:rPr>
        <w:t>,</w:t>
      </w:r>
      <w:r w:rsidR="008213AC">
        <w:rPr>
          <w:rFonts w:ascii="Times New Roman" w:hAnsi="Times New Roman" w:cs="Times New Roman"/>
          <w:sz w:val="24"/>
          <w:szCs w:val="24"/>
        </w:rPr>
        <w:t xml:space="preserve"> será fu</w:t>
      </w:r>
      <w:r w:rsidR="000009EC">
        <w:rPr>
          <w:rFonts w:ascii="Times New Roman" w:hAnsi="Times New Roman" w:cs="Times New Roman"/>
          <w:sz w:val="24"/>
          <w:szCs w:val="24"/>
        </w:rPr>
        <w:t>ndamental viabilizar a produção em larga escala de oleaginosas alternat</w:t>
      </w:r>
      <w:r w:rsidR="00B0398C">
        <w:rPr>
          <w:rFonts w:ascii="Times New Roman" w:hAnsi="Times New Roman" w:cs="Times New Roman"/>
          <w:sz w:val="24"/>
          <w:szCs w:val="24"/>
        </w:rPr>
        <w:t xml:space="preserve">ivas, como a </w:t>
      </w:r>
      <w:proofErr w:type="spellStart"/>
      <w:r w:rsidR="00B0398C">
        <w:rPr>
          <w:rFonts w:ascii="Times New Roman" w:hAnsi="Times New Roman" w:cs="Times New Roman"/>
          <w:sz w:val="24"/>
          <w:szCs w:val="24"/>
        </w:rPr>
        <w:t>canola</w:t>
      </w:r>
      <w:proofErr w:type="spellEnd"/>
      <w:r w:rsidR="000009EC">
        <w:rPr>
          <w:rFonts w:ascii="Times New Roman" w:hAnsi="Times New Roman" w:cs="Times New Roman"/>
          <w:sz w:val="24"/>
          <w:szCs w:val="24"/>
        </w:rPr>
        <w:t>.</w:t>
      </w:r>
      <w:r w:rsidR="0082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AD" w:rsidRDefault="002D3051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Palavras-</w:t>
      </w:r>
      <w:r w:rsidR="00C45CAD">
        <w:rPr>
          <w:rFonts w:ascii="Times New Roman" w:hAnsi="Times New Roman" w:cs="Times New Roman"/>
          <w:b/>
          <w:sz w:val="24"/>
          <w:szCs w:val="24"/>
        </w:rPr>
        <w:t>chave</w:t>
      </w:r>
      <w:proofErr w:type="spellEnd"/>
      <w:r w:rsidR="00C45CAD">
        <w:rPr>
          <w:rFonts w:ascii="Times New Roman" w:hAnsi="Times New Roman" w:cs="Times New Roman"/>
          <w:b/>
          <w:sz w:val="24"/>
          <w:szCs w:val="24"/>
        </w:rPr>
        <w:t>:</w:t>
      </w:r>
      <w:r w:rsidR="00F61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07C" w:rsidRPr="00F6107C">
        <w:rPr>
          <w:rFonts w:ascii="Times New Roman" w:hAnsi="Times New Roman" w:cs="Times New Roman"/>
          <w:sz w:val="24"/>
          <w:szCs w:val="24"/>
        </w:rPr>
        <w:t>biodiesel</w:t>
      </w:r>
      <w:r w:rsidR="00F610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óleo de soja, </w:t>
      </w:r>
      <w:r w:rsidR="00F6107C">
        <w:rPr>
          <w:rFonts w:ascii="Times New Roman" w:hAnsi="Times New Roman" w:cs="Times New Roman"/>
          <w:sz w:val="24"/>
          <w:szCs w:val="24"/>
        </w:rPr>
        <w:t>Rio Grande do Sul, PNPB.</w:t>
      </w:r>
    </w:p>
    <w:p w:rsidR="00C45CAD" w:rsidRDefault="00C45CAD" w:rsidP="009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051" w:rsidRPr="002D3051" w:rsidRDefault="002D3051" w:rsidP="009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3051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2D3051" w:rsidRPr="002D3051" w:rsidRDefault="002D3051" w:rsidP="009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D3051" w:rsidRDefault="002D3051" w:rsidP="009E20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The main </w:t>
      </w:r>
      <w:r w:rsidR="001B077D">
        <w:rPr>
          <w:rFonts w:ascii="Times New Roman" w:hAnsi="Times New Roman" w:cs="Times New Roman"/>
          <w:sz w:val="24"/>
          <w:szCs w:val="24"/>
          <w:lang w:val="en-US"/>
        </w:rPr>
        <w:t xml:space="preserve">purpose 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of this paper is to describe recent developments in the </w:t>
      </w:r>
      <w:r w:rsidR="001B077D">
        <w:rPr>
          <w:rFonts w:ascii="Times New Roman" w:hAnsi="Times New Roman" w:cs="Times New Roman"/>
          <w:sz w:val="24"/>
          <w:szCs w:val="24"/>
          <w:lang w:val="en-US"/>
        </w:rPr>
        <w:t xml:space="preserve">biodiesel 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industry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Rio Grande 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>and assess the main challenges and opportunities for growth that i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>s foreseen for the sector until 2020</w:t>
      </w:r>
      <w:r>
        <w:rPr>
          <w:rFonts w:ascii="Times New Roman" w:hAnsi="Times New Roman" w:cs="Times New Roman"/>
          <w:sz w:val="24"/>
          <w:szCs w:val="24"/>
          <w:lang w:val="en-US"/>
        </w:rPr>
        <w:t>. The prospect of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 growth in demand for </w:t>
      </w:r>
      <w:proofErr w:type="spellStart"/>
      <w:r w:rsidRPr="002D3051">
        <w:rPr>
          <w:rFonts w:ascii="Times New Roman" w:hAnsi="Times New Roman" w:cs="Times New Roman"/>
          <w:sz w:val="24"/>
          <w:szCs w:val="24"/>
          <w:lang w:val="en-US"/>
        </w:rPr>
        <w:t>biofuels</w:t>
      </w:r>
      <w:proofErr w:type="spellEnd"/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 in Brazil and abroad and increased consumption of protein meals in developing countries are factors that </w:t>
      </w:r>
      <w:r w:rsidR="008F79FC">
        <w:rPr>
          <w:rFonts w:ascii="Times New Roman" w:hAnsi="Times New Roman" w:cs="Times New Roman"/>
          <w:sz w:val="24"/>
          <w:szCs w:val="24"/>
          <w:lang w:val="en-US"/>
        </w:rPr>
        <w:t>contribute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 to intensify the development of Brazilian biodiesel in the coming years. 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>The study identified reasons which support the claim of gradual increase in the mandatory blending of biodiesel in the diesel</w:t>
      </w:r>
      <w:r w:rsidR="000D04F7">
        <w:rPr>
          <w:rFonts w:ascii="Times New Roman" w:hAnsi="Times New Roman" w:cs="Times New Roman"/>
          <w:sz w:val="24"/>
          <w:szCs w:val="24"/>
          <w:lang w:val="en-US"/>
        </w:rPr>
        <w:t xml:space="preserve"> oil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 xml:space="preserve"> and the need to remove the tax </w:t>
      </w:r>
      <w:r w:rsidR="001B077D">
        <w:rPr>
          <w:rFonts w:ascii="Times New Roman" w:hAnsi="Times New Roman" w:cs="Times New Roman"/>
          <w:sz w:val="24"/>
          <w:szCs w:val="24"/>
          <w:lang w:val="en-US"/>
        </w:rPr>
        <w:t xml:space="preserve">internal 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>obstacles and external</w:t>
      </w:r>
      <w:r w:rsidR="001B077D">
        <w:rPr>
          <w:rFonts w:ascii="Times New Roman" w:hAnsi="Times New Roman" w:cs="Times New Roman"/>
          <w:sz w:val="24"/>
          <w:szCs w:val="24"/>
          <w:lang w:val="en-US"/>
        </w:rPr>
        <w:t xml:space="preserve"> tariffs that limit the local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 xml:space="preserve"> processing and supply of </w:t>
      </w:r>
      <w:r w:rsidR="000D04F7">
        <w:rPr>
          <w:rFonts w:ascii="Times New Roman" w:hAnsi="Times New Roman" w:cs="Times New Roman"/>
          <w:sz w:val="24"/>
          <w:szCs w:val="24"/>
          <w:lang w:val="en-US"/>
        </w:rPr>
        <w:t>feedstock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 xml:space="preserve">. In the absence of such measures, 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 xml:space="preserve">sustained expansion of </w:t>
      </w:r>
      <w:proofErr w:type="spellStart"/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>biofuel</w:t>
      </w:r>
      <w:proofErr w:type="spellEnd"/>
      <w:r w:rsidR="000D04F7" w:rsidRPr="000D04F7">
        <w:rPr>
          <w:rFonts w:ascii="Times New Roman" w:hAnsi="Times New Roman" w:cs="Times New Roman"/>
          <w:sz w:val="24"/>
          <w:szCs w:val="24"/>
          <w:lang w:val="en-US"/>
        </w:rPr>
        <w:t xml:space="preserve"> production in Rio Grande do Sul may be frustrated.</w:t>
      </w:r>
      <w:r w:rsidR="00841A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 xml:space="preserve">In addition, </w:t>
      </w:r>
      <w:r w:rsidR="00361E9F"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B577B9">
        <w:rPr>
          <w:rFonts w:ascii="Times New Roman" w:hAnsi="Times New Roman" w:cs="Times New Roman"/>
          <w:sz w:val="24"/>
          <w:szCs w:val="24"/>
          <w:lang w:val="en-US"/>
        </w:rPr>
        <w:t xml:space="preserve"> the State</w:t>
      </w:r>
      <w:r w:rsidR="00841A55">
        <w:rPr>
          <w:rFonts w:ascii="Times New Roman" w:hAnsi="Times New Roman" w:cs="Times New Roman"/>
          <w:sz w:val="24"/>
          <w:szCs w:val="24"/>
          <w:lang w:val="en-US"/>
        </w:rPr>
        <w:t xml:space="preserve"> preserve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 its leading role in national production, 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 essential to </w:t>
      </w:r>
      <w:r w:rsidR="00764D9D"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enable </w:t>
      </w:r>
      <w:r w:rsidR="00764D9D">
        <w:rPr>
          <w:rFonts w:ascii="Times New Roman" w:hAnsi="Times New Roman" w:cs="Times New Roman"/>
          <w:sz w:val="24"/>
          <w:szCs w:val="24"/>
          <w:lang w:val="en-US"/>
        </w:rPr>
        <w:t>large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 xml:space="preserve">-scale production of </w:t>
      </w:r>
      <w:r w:rsidR="00B0398C">
        <w:rPr>
          <w:rFonts w:ascii="Times New Roman" w:hAnsi="Times New Roman" w:cs="Times New Roman"/>
          <w:sz w:val="24"/>
          <w:szCs w:val="24"/>
          <w:lang w:val="en-US"/>
        </w:rPr>
        <w:t>alternative oilseeds</w:t>
      </w:r>
      <w:r w:rsidR="00841A55">
        <w:rPr>
          <w:rFonts w:ascii="Times New Roman" w:hAnsi="Times New Roman" w:cs="Times New Roman"/>
          <w:sz w:val="24"/>
          <w:szCs w:val="24"/>
          <w:lang w:val="en-US"/>
        </w:rPr>
        <w:t>, such as rapeseed</w:t>
      </w:r>
      <w:r w:rsidRPr="002D30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18FC" w:rsidRPr="00CF18FC" w:rsidRDefault="00CF18FC" w:rsidP="00CF18F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F18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Key words: </w:t>
      </w:r>
      <w:r w:rsidRPr="00CF18FC">
        <w:rPr>
          <w:rFonts w:ascii="Times New Roman" w:hAnsi="Times New Roman" w:cs="Times New Roman"/>
          <w:sz w:val="24"/>
          <w:szCs w:val="24"/>
          <w:lang w:val="en-US"/>
        </w:rPr>
        <w:t xml:space="preserve">biodiesel, soybean oil, Rio Grande do </w:t>
      </w:r>
      <w:proofErr w:type="spellStart"/>
      <w:r w:rsidRPr="00CF18FC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Pr="00CF18FC">
        <w:rPr>
          <w:rFonts w:ascii="Times New Roman" w:hAnsi="Times New Roman" w:cs="Times New Roman"/>
          <w:sz w:val="24"/>
          <w:szCs w:val="24"/>
          <w:lang w:val="en-US"/>
        </w:rPr>
        <w:t>, PNPB.</w:t>
      </w:r>
    </w:p>
    <w:p w:rsidR="00CF18FC" w:rsidRPr="00CF18FC" w:rsidRDefault="00CF18FC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7B24" w:rsidRPr="00AF7A90" w:rsidRDefault="00B77B24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63186" w:rsidRDefault="00053D4E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elevação dos</w:t>
      </w:r>
      <w:r w:rsidR="00887B11">
        <w:rPr>
          <w:rFonts w:ascii="Times New Roman" w:hAnsi="Times New Roman" w:cs="Times New Roman"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>ços internacionais do petróleo e o</w:t>
      </w:r>
      <w:r w:rsidR="00887B11">
        <w:rPr>
          <w:rFonts w:ascii="Times New Roman" w:hAnsi="Times New Roman" w:cs="Times New Roman"/>
          <w:sz w:val="24"/>
          <w:szCs w:val="24"/>
        </w:rPr>
        <w:t xml:space="preserve"> surgimento de evidê</w:t>
      </w:r>
      <w:r>
        <w:rPr>
          <w:rFonts w:ascii="Times New Roman" w:hAnsi="Times New Roman" w:cs="Times New Roman"/>
          <w:sz w:val="24"/>
          <w:szCs w:val="24"/>
        </w:rPr>
        <w:t xml:space="preserve">ncias cada vez mais </w:t>
      </w:r>
      <w:r w:rsidR="00130F9D">
        <w:rPr>
          <w:rFonts w:ascii="Times New Roman" w:hAnsi="Times New Roman" w:cs="Times New Roman"/>
          <w:sz w:val="24"/>
          <w:szCs w:val="24"/>
        </w:rPr>
        <w:t>convincentes</w:t>
      </w:r>
      <w:r w:rsidR="00A70A0A">
        <w:rPr>
          <w:rFonts w:ascii="Times New Roman" w:hAnsi="Times New Roman" w:cs="Times New Roman"/>
          <w:sz w:val="24"/>
          <w:szCs w:val="24"/>
        </w:rPr>
        <w:t xml:space="preserve"> da relação </w:t>
      </w:r>
      <w:r w:rsidR="00647324">
        <w:rPr>
          <w:rFonts w:ascii="Times New Roman" w:hAnsi="Times New Roman" w:cs="Times New Roman"/>
          <w:sz w:val="24"/>
          <w:szCs w:val="24"/>
        </w:rPr>
        <w:t>direta entre a</w:t>
      </w:r>
      <w:r w:rsidR="00887B11">
        <w:rPr>
          <w:rFonts w:ascii="Times New Roman" w:hAnsi="Times New Roman" w:cs="Times New Roman"/>
          <w:sz w:val="24"/>
          <w:szCs w:val="24"/>
        </w:rPr>
        <w:t xml:space="preserve"> queima de combustíveis fósseis e o aquecimento global </w:t>
      </w:r>
      <w:r w:rsidR="006E12DC">
        <w:rPr>
          <w:rFonts w:ascii="Times New Roman" w:hAnsi="Times New Roman" w:cs="Times New Roman"/>
          <w:sz w:val="24"/>
          <w:szCs w:val="24"/>
        </w:rPr>
        <w:t>estão entre os</w:t>
      </w:r>
      <w:r w:rsidR="00887B11">
        <w:rPr>
          <w:rFonts w:ascii="Times New Roman" w:hAnsi="Times New Roman" w:cs="Times New Roman"/>
          <w:sz w:val="24"/>
          <w:szCs w:val="24"/>
        </w:rPr>
        <w:t xml:space="preserve"> principais motivadores do processo de revisão da mat</w:t>
      </w:r>
      <w:r w:rsidR="00E15995">
        <w:rPr>
          <w:rFonts w:ascii="Times New Roman" w:hAnsi="Times New Roman" w:cs="Times New Roman"/>
          <w:sz w:val="24"/>
          <w:szCs w:val="24"/>
        </w:rPr>
        <w:t xml:space="preserve">riz energética </w:t>
      </w:r>
      <w:r>
        <w:rPr>
          <w:rFonts w:ascii="Times New Roman" w:hAnsi="Times New Roman" w:cs="Times New Roman"/>
          <w:sz w:val="24"/>
          <w:szCs w:val="24"/>
        </w:rPr>
        <w:t xml:space="preserve">mundial, </w:t>
      </w:r>
      <w:r w:rsidR="008D7A65">
        <w:rPr>
          <w:rFonts w:ascii="Times New Roman" w:hAnsi="Times New Roman" w:cs="Times New Roman"/>
          <w:sz w:val="24"/>
          <w:szCs w:val="24"/>
        </w:rPr>
        <w:t>iniciad</w:t>
      </w:r>
      <w:r w:rsidR="009010E4">
        <w:rPr>
          <w:rFonts w:ascii="Times New Roman" w:hAnsi="Times New Roman" w:cs="Times New Roman"/>
          <w:sz w:val="24"/>
          <w:szCs w:val="24"/>
        </w:rPr>
        <w:t>o</w:t>
      </w:r>
      <w:r w:rsidR="008D7A65">
        <w:rPr>
          <w:rFonts w:ascii="Times New Roman" w:hAnsi="Times New Roman" w:cs="Times New Roman"/>
          <w:sz w:val="24"/>
          <w:szCs w:val="24"/>
        </w:rPr>
        <w:t xml:space="preserve"> na</w:t>
      </w:r>
      <w:r w:rsidR="006039C4">
        <w:rPr>
          <w:rFonts w:ascii="Times New Roman" w:hAnsi="Times New Roman" w:cs="Times New Roman"/>
          <w:sz w:val="24"/>
          <w:szCs w:val="24"/>
        </w:rPr>
        <w:t xml:space="preserve"> década de 1970</w:t>
      </w:r>
      <w:r w:rsidR="00EB38BF">
        <w:rPr>
          <w:rFonts w:ascii="Times New Roman" w:hAnsi="Times New Roman" w:cs="Times New Roman"/>
          <w:sz w:val="24"/>
          <w:szCs w:val="24"/>
        </w:rPr>
        <w:t xml:space="preserve">, com vistas a ampliar </w:t>
      </w:r>
      <w:r w:rsidR="00A70A0A">
        <w:rPr>
          <w:rFonts w:ascii="Times New Roman" w:hAnsi="Times New Roman" w:cs="Times New Roman"/>
          <w:sz w:val="24"/>
          <w:szCs w:val="24"/>
        </w:rPr>
        <w:t xml:space="preserve">o uso de fontes renováveis </w:t>
      </w:r>
      <w:r w:rsidR="00EB38BF">
        <w:rPr>
          <w:rFonts w:ascii="Times New Roman" w:hAnsi="Times New Roman" w:cs="Times New Roman"/>
          <w:sz w:val="24"/>
          <w:szCs w:val="24"/>
        </w:rPr>
        <w:t>de energia.</w:t>
      </w:r>
      <w:r w:rsidR="004C1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8D0" w:rsidRDefault="00AC38D0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</w:t>
      </w:r>
      <w:r w:rsidR="000A72BD">
        <w:rPr>
          <w:rFonts w:ascii="Times New Roman" w:hAnsi="Times New Roman" w:cs="Times New Roman"/>
          <w:sz w:val="24"/>
          <w:szCs w:val="24"/>
        </w:rPr>
        <w:t>, o setor agrícola foi especialmente impactado pela</w:t>
      </w:r>
      <w:r w:rsidR="006039C4">
        <w:rPr>
          <w:rFonts w:ascii="Times New Roman" w:hAnsi="Times New Roman" w:cs="Times New Roman"/>
          <w:sz w:val="24"/>
          <w:szCs w:val="24"/>
        </w:rPr>
        <w:t xml:space="preserve"> criação de incentivos e metas </w:t>
      </w:r>
      <w:r w:rsidR="000A72BD">
        <w:rPr>
          <w:rFonts w:ascii="Times New Roman" w:hAnsi="Times New Roman" w:cs="Times New Roman"/>
          <w:sz w:val="24"/>
          <w:szCs w:val="24"/>
        </w:rPr>
        <w:t xml:space="preserve">ambiciosas </w:t>
      </w:r>
      <w:r w:rsidR="006039C4">
        <w:rPr>
          <w:rFonts w:ascii="Times New Roman" w:hAnsi="Times New Roman" w:cs="Times New Roman"/>
          <w:sz w:val="24"/>
          <w:szCs w:val="24"/>
        </w:rPr>
        <w:t>para a produção de biocombustíveis</w:t>
      </w:r>
      <w:r w:rsidR="00647324">
        <w:rPr>
          <w:rFonts w:ascii="Times New Roman" w:hAnsi="Times New Roman" w:cs="Times New Roman"/>
          <w:sz w:val="24"/>
          <w:szCs w:val="24"/>
        </w:rPr>
        <w:t>.</w:t>
      </w:r>
      <w:r w:rsidR="000A72BD">
        <w:rPr>
          <w:rFonts w:ascii="Times New Roman" w:hAnsi="Times New Roman" w:cs="Times New Roman"/>
          <w:sz w:val="24"/>
          <w:szCs w:val="24"/>
        </w:rPr>
        <w:t xml:space="preserve"> A agricultura</w:t>
      </w:r>
      <w:r w:rsidR="00EB462D">
        <w:rPr>
          <w:rFonts w:ascii="Times New Roman" w:hAnsi="Times New Roman" w:cs="Times New Roman"/>
          <w:sz w:val="24"/>
          <w:szCs w:val="24"/>
        </w:rPr>
        <w:t>, cujo</w:t>
      </w:r>
      <w:r w:rsidR="008D7A65">
        <w:rPr>
          <w:rFonts w:ascii="Times New Roman" w:hAnsi="Times New Roman" w:cs="Times New Roman"/>
          <w:sz w:val="24"/>
          <w:szCs w:val="24"/>
        </w:rPr>
        <w:t xml:space="preserve"> </w:t>
      </w:r>
      <w:r w:rsidR="00EB462D">
        <w:rPr>
          <w:rFonts w:ascii="Times New Roman" w:hAnsi="Times New Roman" w:cs="Times New Roman"/>
          <w:sz w:val="24"/>
          <w:szCs w:val="24"/>
        </w:rPr>
        <w:t>papel</w:t>
      </w:r>
      <w:r w:rsidR="00053D4E">
        <w:rPr>
          <w:rFonts w:ascii="Times New Roman" w:hAnsi="Times New Roman" w:cs="Times New Roman"/>
          <w:sz w:val="24"/>
          <w:szCs w:val="24"/>
        </w:rPr>
        <w:t xml:space="preserve"> históric</w:t>
      </w:r>
      <w:r w:rsidR="00EB462D">
        <w:rPr>
          <w:rFonts w:ascii="Times New Roman" w:hAnsi="Times New Roman" w:cs="Times New Roman"/>
          <w:sz w:val="24"/>
          <w:szCs w:val="24"/>
        </w:rPr>
        <w:t>o</w:t>
      </w:r>
      <w:r w:rsidR="00053D4E">
        <w:rPr>
          <w:rFonts w:ascii="Times New Roman" w:hAnsi="Times New Roman" w:cs="Times New Roman"/>
          <w:sz w:val="24"/>
          <w:szCs w:val="24"/>
        </w:rPr>
        <w:t xml:space="preserve"> </w:t>
      </w:r>
      <w:r w:rsidR="002E1483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62D">
        <w:rPr>
          <w:rFonts w:ascii="Times New Roman" w:hAnsi="Times New Roman" w:cs="Times New Roman"/>
          <w:sz w:val="24"/>
          <w:szCs w:val="24"/>
        </w:rPr>
        <w:t xml:space="preserve">garantir a segurança alimentar </w:t>
      </w:r>
      <w:r w:rsidR="002E1483">
        <w:rPr>
          <w:rFonts w:ascii="Times New Roman" w:hAnsi="Times New Roman" w:cs="Times New Roman"/>
          <w:sz w:val="24"/>
          <w:szCs w:val="24"/>
        </w:rPr>
        <w:t>da população mundial</w:t>
      </w:r>
      <w:r w:rsidR="008D7A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incor</w:t>
      </w:r>
      <w:r w:rsidR="00EB462D">
        <w:rPr>
          <w:rFonts w:ascii="Times New Roman" w:hAnsi="Times New Roman" w:cs="Times New Roman"/>
          <w:sz w:val="24"/>
          <w:szCs w:val="24"/>
        </w:rPr>
        <w:t xml:space="preserve">porou </w:t>
      </w:r>
      <w:r w:rsidR="00EB462D">
        <w:rPr>
          <w:rFonts w:ascii="Times New Roman" w:hAnsi="Times New Roman" w:cs="Times New Roman"/>
          <w:sz w:val="24"/>
          <w:szCs w:val="24"/>
        </w:rPr>
        <w:lastRenderedPageBreak/>
        <w:t>uma nova função, sendo</w:t>
      </w:r>
      <w:r w:rsidR="008D7A65">
        <w:rPr>
          <w:rFonts w:ascii="Times New Roman" w:hAnsi="Times New Roman" w:cs="Times New Roman"/>
          <w:sz w:val="24"/>
          <w:szCs w:val="24"/>
        </w:rPr>
        <w:t xml:space="preserve"> desafiada a </w:t>
      </w:r>
      <w:r w:rsidR="000A72BD">
        <w:rPr>
          <w:rFonts w:ascii="Times New Roman" w:hAnsi="Times New Roman" w:cs="Times New Roman"/>
          <w:sz w:val="24"/>
          <w:szCs w:val="24"/>
        </w:rPr>
        <w:t>prover energia renovável</w:t>
      </w:r>
      <w:r w:rsidR="00E15995">
        <w:rPr>
          <w:rFonts w:ascii="Times New Roman" w:hAnsi="Times New Roman" w:cs="Times New Roman"/>
          <w:sz w:val="24"/>
          <w:szCs w:val="24"/>
        </w:rPr>
        <w:t xml:space="preserve"> em escala crescente</w:t>
      </w:r>
      <w:r w:rsidR="000A72BD">
        <w:rPr>
          <w:rFonts w:ascii="Times New Roman" w:hAnsi="Times New Roman" w:cs="Times New Roman"/>
          <w:sz w:val="24"/>
          <w:szCs w:val="24"/>
        </w:rPr>
        <w:t xml:space="preserve"> por meio da oferta de matéria prima para a produção </w:t>
      </w:r>
      <w:r w:rsidR="009010E4">
        <w:rPr>
          <w:rFonts w:ascii="Times New Roman" w:hAnsi="Times New Roman" w:cs="Times New Roman"/>
          <w:sz w:val="24"/>
          <w:szCs w:val="24"/>
        </w:rPr>
        <w:t>dos sucedâneos naturais da gasolina (</w:t>
      </w:r>
      <w:r w:rsidR="000A72BD">
        <w:rPr>
          <w:rFonts w:ascii="Times New Roman" w:hAnsi="Times New Roman" w:cs="Times New Roman"/>
          <w:sz w:val="24"/>
          <w:szCs w:val="24"/>
        </w:rPr>
        <w:t>etanol</w:t>
      </w:r>
      <w:r w:rsidR="009010E4">
        <w:rPr>
          <w:rFonts w:ascii="Times New Roman" w:hAnsi="Times New Roman" w:cs="Times New Roman"/>
          <w:sz w:val="24"/>
          <w:szCs w:val="24"/>
        </w:rPr>
        <w:t>) e do diesel</w:t>
      </w:r>
      <w:r w:rsidR="000A72BD">
        <w:rPr>
          <w:rFonts w:ascii="Times New Roman" w:hAnsi="Times New Roman" w:cs="Times New Roman"/>
          <w:sz w:val="24"/>
          <w:szCs w:val="24"/>
        </w:rPr>
        <w:t xml:space="preserve"> </w:t>
      </w:r>
      <w:r w:rsidR="009010E4">
        <w:rPr>
          <w:rFonts w:ascii="Times New Roman" w:hAnsi="Times New Roman" w:cs="Times New Roman"/>
          <w:sz w:val="24"/>
          <w:szCs w:val="24"/>
        </w:rPr>
        <w:t>(</w:t>
      </w:r>
      <w:r w:rsidR="000A72BD">
        <w:rPr>
          <w:rFonts w:ascii="Times New Roman" w:hAnsi="Times New Roman" w:cs="Times New Roman"/>
          <w:sz w:val="24"/>
          <w:szCs w:val="24"/>
        </w:rPr>
        <w:t>biodiesel</w:t>
      </w:r>
      <w:r w:rsidR="009010E4">
        <w:rPr>
          <w:rFonts w:ascii="Times New Roman" w:hAnsi="Times New Roman" w:cs="Times New Roman"/>
          <w:sz w:val="24"/>
          <w:szCs w:val="24"/>
        </w:rPr>
        <w:t>)</w:t>
      </w:r>
      <w:r w:rsidR="000A72BD">
        <w:rPr>
          <w:rFonts w:ascii="Times New Roman" w:hAnsi="Times New Roman" w:cs="Times New Roman"/>
          <w:sz w:val="24"/>
          <w:szCs w:val="24"/>
        </w:rPr>
        <w:t>.</w:t>
      </w:r>
      <w:r w:rsidR="00603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995" w:rsidRDefault="00053D4E" w:rsidP="00363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proofErr w:type="spellStart"/>
      <w:r w:rsidRPr="00E15995">
        <w:rPr>
          <w:rFonts w:ascii="Times New Roman" w:hAnsi="Times New Roman" w:cs="Times New Roman"/>
          <w:sz w:val="24"/>
          <w:szCs w:val="24"/>
        </w:rPr>
        <w:t>Raj</w:t>
      </w:r>
      <w:r>
        <w:rPr>
          <w:rFonts w:ascii="Times New Roman" w:hAnsi="Times New Roman" w:cs="Times New Roman"/>
          <w:sz w:val="24"/>
          <w:szCs w:val="24"/>
        </w:rPr>
        <w:t>agopal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Zilberman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(2007, p.</w:t>
      </w:r>
      <w:r w:rsidR="00334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6), a principal vantagem desses biocombustíveis é gerar uma energia renovável, menos intensiva em carbono do que os derivados do petróleo, que pode ser produzida domesticamente pela maioria dos países.</w:t>
      </w:r>
      <w:r w:rsidR="00A500AB">
        <w:rPr>
          <w:rFonts w:ascii="Times New Roman" w:hAnsi="Times New Roman" w:cs="Times New Roman"/>
          <w:sz w:val="24"/>
          <w:szCs w:val="24"/>
        </w:rPr>
        <w:t xml:space="preserve"> </w:t>
      </w:r>
      <w:r w:rsidR="00A500AB" w:rsidRPr="00A500AB">
        <w:rPr>
          <w:rFonts w:ascii="Times New Roman" w:hAnsi="Times New Roman" w:cs="Times New Roman"/>
          <w:sz w:val="24"/>
          <w:szCs w:val="24"/>
        </w:rPr>
        <w:t xml:space="preserve">Por outro lado, a </w:t>
      </w:r>
      <w:r w:rsidR="00813C5A">
        <w:rPr>
          <w:rFonts w:ascii="Times New Roman" w:hAnsi="Times New Roman" w:cs="Times New Roman"/>
          <w:sz w:val="24"/>
          <w:szCs w:val="24"/>
        </w:rPr>
        <w:t xml:space="preserve">Organização das Nações Unidas para a Agricultura e </w:t>
      </w:r>
      <w:proofErr w:type="gramStart"/>
      <w:r w:rsidR="00813C5A">
        <w:rPr>
          <w:rFonts w:ascii="Times New Roman" w:hAnsi="Times New Roman" w:cs="Times New Roman"/>
          <w:sz w:val="24"/>
          <w:szCs w:val="24"/>
        </w:rPr>
        <w:t>Alimentação –</w:t>
      </w:r>
      <w:r w:rsidR="00A500AB" w:rsidRPr="00A500AB">
        <w:rPr>
          <w:rFonts w:ascii="Times New Roman" w:hAnsi="Times New Roman" w:cs="Times New Roman"/>
          <w:sz w:val="24"/>
          <w:szCs w:val="24"/>
        </w:rPr>
        <w:t>FAO</w:t>
      </w:r>
      <w:proofErr w:type="gramEnd"/>
      <w:r w:rsidR="00813C5A">
        <w:rPr>
          <w:rFonts w:ascii="Times New Roman" w:hAnsi="Times New Roman" w:cs="Times New Roman"/>
          <w:sz w:val="24"/>
          <w:szCs w:val="24"/>
        </w:rPr>
        <w:t xml:space="preserve"> </w:t>
      </w:r>
      <w:r w:rsidR="00A500AB" w:rsidRPr="00A500AB">
        <w:rPr>
          <w:rFonts w:ascii="Times New Roman" w:hAnsi="Times New Roman" w:cs="Times New Roman"/>
          <w:sz w:val="24"/>
          <w:szCs w:val="24"/>
        </w:rPr>
        <w:t>(2008</w:t>
      </w:r>
      <w:r w:rsidR="00363186">
        <w:rPr>
          <w:rFonts w:ascii="Times New Roman" w:hAnsi="Times New Roman" w:cs="Times New Roman"/>
          <w:sz w:val="24"/>
          <w:szCs w:val="24"/>
        </w:rPr>
        <w:t>, p. 1</w:t>
      </w:r>
      <w:r w:rsidR="00813C5A">
        <w:rPr>
          <w:rFonts w:ascii="Times New Roman" w:hAnsi="Times New Roman" w:cs="Times New Roman"/>
          <w:sz w:val="24"/>
          <w:szCs w:val="24"/>
        </w:rPr>
        <w:t>)</w:t>
      </w:r>
      <w:r w:rsidR="00A500AB" w:rsidRPr="00A500AB">
        <w:rPr>
          <w:rFonts w:ascii="Times New Roman" w:hAnsi="Times New Roman" w:cs="Times New Roman"/>
          <w:sz w:val="24"/>
          <w:szCs w:val="24"/>
        </w:rPr>
        <w:t xml:space="preserve"> </w:t>
      </w:r>
      <w:r w:rsidR="00813C5A">
        <w:rPr>
          <w:rFonts w:ascii="Times New Roman" w:hAnsi="Times New Roman" w:cs="Times New Roman"/>
          <w:sz w:val="24"/>
          <w:szCs w:val="24"/>
        </w:rPr>
        <w:t xml:space="preserve">alerta que </w:t>
      </w:r>
      <w:r w:rsidR="00A500AB" w:rsidRPr="00A500AB">
        <w:rPr>
          <w:rFonts w:ascii="Times New Roman" w:hAnsi="Times New Roman" w:cs="Times New Roman"/>
          <w:sz w:val="24"/>
          <w:szCs w:val="24"/>
        </w:rPr>
        <w:t>com o uso das atuais tecnologias e conjunto de pol</w:t>
      </w:r>
      <w:r w:rsidR="00A500AB">
        <w:rPr>
          <w:rFonts w:ascii="Times New Roman" w:hAnsi="Times New Roman" w:cs="Times New Roman"/>
          <w:sz w:val="24"/>
          <w:szCs w:val="24"/>
        </w:rPr>
        <w:t xml:space="preserve">íticas, o crescimento </w:t>
      </w:r>
      <w:r w:rsidR="00363186">
        <w:rPr>
          <w:rFonts w:ascii="Times New Roman" w:hAnsi="Times New Roman" w:cs="Times New Roman"/>
          <w:sz w:val="24"/>
          <w:szCs w:val="24"/>
        </w:rPr>
        <w:t xml:space="preserve">da produção dos biocombustíveis estaria contribuindo para o </w:t>
      </w:r>
      <w:r w:rsidR="00621983">
        <w:rPr>
          <w:rFonts w:ascii="Times New Roman" w:hAnsi="Times New Roman" w:cs="Times New Roman"/>
          <w:sz w:val="24"/>
          <w:szCs w:val="24"/>
        </w:rPr>
        <w:t>aumento</w:t>
      </w:r>
      <w:r w:rsidR="00363186">
        <w:rPr>
          <w:rFonts w:ascii="Times New Roman" w:hAnsi="Times New Roman" w:cs="Times New Roman"/>
          <w:sz w:val="24"/>
          <w:szCs w:val="24"/>
        </w:rPr>
        <w:t xml:space="preserve"> dos preços das commodities e poderia causar impactos negativos na seguridade alimentar e no meio ambiente rural. </w:t>
      </w:r>
    </w:p>
    <w:p w:rsidR="00A022D0" w:rsidRDefault="009010E4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Brasil é considerado</w:t>
      </w:r>
      <w:r w:rsidR="000B5B64">
        <w:rPr>
          <w:rFonts w:ascii="Times New Roman" w:hAnsi="Times New Roman" w:cs="Times New Roman"/>
          <w:sz w:val="24"/>
          <w:szCs w:val="24"/>
        </w:rPr>
        <w:t xml:space="preserve"> pioneiro no desenvolvimento, </w:t>
      </w:r>
      <w:r>
        <w:rPr>
          <w:rFonts w:ascii="Times New Roman" w:hAnsi="Times New Roman" w:cs="Times New Roman"/>
          <w:sz w:val="24"/>
          <w:szCs w:val="24"/>
        </w:rPr>
        <w:t>produção</w:t>
      </w:r>
      <w:r w:rsidR="000B5B64">
        <w:rPr>
          <w:rFonts w:ascii="Times New Roman" w:hAnsi="Times New Roman" w:cs="Times New Roman"/>
          <w:sz w:val="24"/>
          <w:szCs w:val="24"/>
        </w:rPr>
        <w:t xml:space="preserve"> e uso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B5B64">
        <w:rPr>
          <w:rFonts w:ascii="Times New Roman" w:hAnsi="Times New Roman" w:cs="Times New Roman"/>
          <w:sz w:val="24"/>
          <w:szCs w:val="24"/>
        </w:rPr>
        <w:t>biocombustíveis. O Programa Nacional do Álcool -</w:t>
      </w:r>
      <w:r w:rsidR="00A022D0">
        <w:rPr>
          <w:rFonts w:ascii="Times New Roman" w:hAnsi="Times New Roman" w:cs="Times New Roman"/>
          <w:sz w:val="24"/>
          <w:szCs w:val="24"/>
        </w:rPr>
        <w:t xml:space="preserve"> PROÁLCOOL, instituído em 1975, </w:t>
      </w:r>
      <w:r w:rsidR="00897639">
        <w:rPr>
          <w:rFonts w:ascii="Times New Roman" w:hAnsi="Times New Roman" w:cs="Times New Roman"/>
          <w:sz w:val="24"/>
          <w:szCs w:val="24"/>
        </w:rPr>
        <w:t xml:space="preserve">teve sucesso em promover </w:t>
      </w:r>
      <w:r w:rsidR="000B5B64">
        <w:rPr>
          <w:rFonts w:ascii="Times New Roman" w:hAnsi="Times New Roman" w:cs="Times New Roman"/>
          <w:sz w:val="24"/>
          <w:szCs w:val="24"/>
        </w:rPr>
        <w:t xml:space="preserve">o uso do </w:t>
      </w:r>
      <w:r w:rsidR="00EB38BF">
        <w:rPr>
          <w:rFonts w:ascii="Times New Roman" w:hAnsi="Times New Roman" w:cs="Times New Roman"/>
          <w:sz w:val="24"/>
          <w:szCs w:val="24"/>
        </w:rPr>
        <w:t>etanol</w:t>
      </w:r>
      <w:r w:rsidR="000B5B64">
        <w:rPr>
          <w:rFonts w:ascii="Times New Roman" w:hAnsi="Times New Roman" w:cs="Times New Roman"/>
          <w:sz w:val="24"/>
          <w:szCs w:val="24"/>
        </w:rPr>
        <w:t xml:space="preserve"> produzido a partir da cana-de-açúcar como combustív</w:t>
      </w:r>
      <w:r w:rsidR="00A022D0">
        <w:rPr>
          <w:rFonts w:ascii="Times New Roman" w:hAnsi="Times New Roman" w:cs="Times New Roman"/>
          <w:sz w:val="24"/>
          <w:szCs w:val="24"/>
        </w:rPr>
        <w:t xml:space="preserve">el automotivo e </w:t>
      </w:r>
      <w:r w:rsidR="00897639">
        <w:rPr>
          <w:rFonts w:ascii="Times New Roman" w:hAnsi="Times New Roman" w:cs="Times New Roman"/>
          <w:sz w:val="24"/>
          <w:szCs w:val="24"/>
        </w:rPr>
        <w:t>foi classificado como o</w:t>
      </w:r>
      <w:r w:rsidR="000B5B64">
        <w:rPr>
          <w:rFonts w:ascii="Times New Roman" w:hAnsi="Times New Roman" w:cs="Times New Roman"/>
          <w:sz w:val="24"/>
          <w:szCs w:val="24"/>
        </w:rPr>
        <w:t xml:space="preserve"> maior </w:t>
      </w:r>
      <w:r w:rsidR="00897639">
        <w:rPr>
          <w:rFonts w:ascii="Times New Roman" w:hAnsi="Times New Roman" w:cs="Times New Roman"/>
          <w:sz w:val="24"/>
          <w:szCs w:val="24"/>
        </w:rPr>
        <w:t>e mais duradouro esforço de substituição de combustível fóssil por biocombustível renovável</w:t>
      </w:r>
      <w:r w:rsidR="000B5B64">
        <w:rPr>
          <w:rFonts w:ascii="Times New Roman" w:hAnsi="Times New Roman" w:cs="Times New Roman"/>
          <w:sz w:val="24"/>
          <w:szCs w:val="24"/>
        </w:rPr>
        <w:t xml:space="preserve"> </w:t>
      </w:r>
      <w:r w:rsidR="00897639">
        <w:rPr>
          <w:rFonts w:ascii="Times New Roman" w:hAnsi="Times New Roman" w:cs="Times New Roman"/>
          <w:sz w:val="24"/>
          <w:szCs w:val="24"/>
        </w:rPr>
        <w:t xml:space="preserve">em termos mundiais </w:t>
      </w:r>
      <w:r w:rsidR="000B5B64">
        <w:rPr>
          <w:rFonts w:ascii="Times New Roman" w:hAnsi="Times New Roman" w:cs="Times New Roman"/>
          <w:sz w:val="24"/>
          <w:szCs w:val="24"/>
        </w:rPr>
        <w:t>(</w:t>
      </w:r>
      <w:r w:rsidR="00897639">
        <w:rPr>
          <w:rFonts w:ascii="Times New Roman" w:hAnsi="Times New Roman" w:cs="Times New Roman"/>
          <w:sz w:val="24"/>
          <w:szCs w:val="24"/>
        </w:rPr>
        <w:t>NITSCH</w:t>
      </w:r>
      <w:r w:rsidR="00A022D0">
        <w:rPr>
          <w:rFonts w:ascii="Times New Roman" w:hAnsi="Times New Roman" w:cs="Times New Roman"/>
          <w:sz w:val="24"/>
          <w:szCs w:val="24"/>
        </w:rPr>
        <w:t xml:space="preserve">, </w:t>
      </w:r>
      <w:r w:rsidR="00897639">
        <w:rPr>
          <w:rFonts w:ascii="Times New Roman" w:hAnsi="Times New Roman" w:cs="Times New Roman"/>
          <w:sz w:val="24"/>
          <w:szCs w:val="24"/>
        </w:rPr>
        <w:t>1991</w:t>
      </w:r>
      <w:r w:rsidR="00A022D0">
        <w:rPr>
          <w:rFonts w:ascii="Times New Roman" w:hAnsi="Times New Roman" w:cs="Times New Roman"/>
          <w:sz w:val="24"/>
          <w:szCs w:val="24"/>
        </w:rPr>
        <w:t>, p</w:t>
      </w:r>
      <w:r w:rsidR="00897639">
        <w:rPr>
          <w:rFonts w:ascii="Times New Roman" w:hAnsi="Times New Roman" w:cs="Times New Roman"/>
          <w:sz w:val="24"/>
          <w:szCs w:val="24"/>
        </w:rPr>
        <w:t>. 123</w:t>
      </w:r>
      <w:r w:rsidR="00A022D0">
        <w:rPr>
          <w:rFonts w:ascii="Times New Roman" w:hAnsi="Times New Roman" w:cs="Times New Roman"/>
          <w:sz w:val="24"/>
          <w:szCs w:val="24"/>
        </w:rPr>
        <w:t>).</w:t>
      </w:r>
    </w:p>
    <w:p w:rsidR="0028659D" w:rsidRDefault="00A074B7" w:rsidP="00E977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se refere ao biodiesel, </w:t>
      </w:r>
      <w:r w:rsidR="00F75655">
        <w:rPr>
          <w:rFonts w:ascii="Times New Roman" w:hAnsi="Times New Roman" w:cs="Times New Roman"/>
          <w:sz w:val="24"/>
          <w:szCs w:val="24"/>
        </w:rPr>
        <w:t>a primeira tentativa</w:t>
      </w:r>
      <w:r w:rsidR="00A70A0A">
        <w:rPr>
          <w:rFonts w:ascii="Times New Roman" w:hAnsi="Times New Roman" w:cs="Times New Roman"/>
          <w:sz w:val="24"/>
          <w:szCs w:val="24"/>
        </w:rPr>
        <w:t xml:space="preserve"> estrutura</w:t>
      </w:r>
      <w:r w:rsidR="002E1483">
        <w:rPr>
          <w:rFonts w:ascii="Times New Roman" w:hAnsi="Times New Roman" w:cs="Times New Roman"/>
          <w:sz w:val="24"/>
          <w:szCs w:val="24"/>
        </w:rPr>
        <w:t>da</w:t>
      </w:r>
      <w:r w:rsidR="004E2EFA">
        <w:rPr>
          <w:rFonts w:ascii="Times New Roman" w:hAnsi="Times New Roman" w:cs="Times New Roman"/>
          <w:sz w:val="24"/>
          <w:szCs w:val="24"/>
        </w:rPr>
        <w:t xml:space="preserve"> </w:t>
      </w:r>
      <w:r w:rsidR="002B2F71">
        <w:rPr>
          <w:rFonts w:ascii="Times New Roman" w:hAnsi="Times New Roman" w:cs="Times New Roman"/>
          <w:sz w:val="24"/>
          <w:szCs w:val="24"/>
        </w:rPr>
        <w:t>para sua</w:t>
      </w:r>
      <w:r w:rsidR="004E2EFA">
        <w:rPr>
          <w:rFonts w:ascii="Times New Roman" w:hAnsi="Times New Roman" w:cs="Times New Roman"/>
          <w:sz w:val="24"/>
          <w:szCs w:val="24"/>
        </w:rPr>
        <w:t xml:space="preserve"> </w:t>
      </w:r>
      <w:r w:rsidR="00F75655">
        <w:rPr>
          <w:rFonts w:ascii="Times New Roman" w:hAnsi="Times New Roman" w:cs="Times New Roman"/>
          <w:sz w:val="24"/>
          <w:szCs w:val="24"/>
        </w:rPr>
        <w:t>introdução na matriz energétic</w:t>
      </w:r>
      <w:r w:rsidR="002B2F71">
        <w:rPr>
          <w:rFonts w:ascii="Times New Roman" w:hAnsi="Times New Roman" w:cs="Times New Roman"/>
          <w:sz w:val="24"/>
          <w:szCs w:val="24"/>
        </w:rPr>
        <w:t>a brasileira</w:t>
      </w:r>
      <w:r w:rsidR="00647324">
        <w:rPr>
          <w:rFonts w:ascii="Times New Roman" w:hAnsi="Times New Roman" w:cs="Times New Roman"/>
          <w:sz w:val="24"/>
          <w:szCs w:val="24"/>
        </w:rPr>
        <w:t xml:space="preserve"> ocorreu</w:t>
      </w:r>
      <w:r w:rsidR="00F75655">
        <w:rPr>
          <w:rFonts w:ascii="Times New Roman" w:hAnsi="Times New Roman" w:cs="Times New Roman"/>
          <w:sz w:val="24"/>
          <w:szCs w:val="24"/>
        </w:rPr>
        <w:t xml:space="preserve"> em 1975, com a proposição do </w:t>
      </w:r>
      <w:r w:rsidR="00F75655" w:rsidRPr="00F75655">
        <w:rPr>
          <w:rFonts w:ascii="Times New Roman" w:hAnsi="Times New Roman" w:cs="Times New Roman"/>
          <w:sz w:val="24"/>
          <w:szCs w:val="24"/>
        </w:rPr>
        <w:t>Plano de Produção de Óleos Vegetais para Fins Energéticos</w:t>
      </w:r>
      <w:r w:rsidR="00781EBE">
        <w:rPr>
          <w:rFonts w:ascii="Times New Roman" w:hAnsi="Times New Roman" w:cs="Times New Roman"/>
          <w:sz w:val="24"/>
          <w:szCs w:val="24"/>
        </w:rPr>
        <w:t xml:space="preserve"> – PROÓLEO</w:t>
      </w:r>
      <w:r w:rsidR="00A70A0A">
        <w:rPr>
          <w:rFonts w:ascii="Times New Roman" w:hAnsi="Times New Roman" w:cs="Times New Roman"/>
          <w:sz w:val="24"/>
          <w:szCs w:val="24"/>
        </w:rPr>
        <w:t xml:space="preserve">. </w:t>
      </w:r>
      <w:r w:rsidR="00E9771C">
        <w:rPr>
          <w:rFonts w:ascii="Times New Roman" w:hAnsi="Times New Roman" w:cs="Times New Roman"/>
          <w:sz w:val="24"/>
          <w:szCs w:val="24"/>
        </w:rPr>
        <w:t xml:space="preserve"> </w:t>
      </w:r>
      <w:r w:rsidR="00A70A0A">
        <w:rPr>
          <w:rFonts w:ascii="Times New Roman" w:hAnsi="Times New Roman" w:cs="Times New Roman"/>
          <w:sz w:val="24"/>
          <w:szCs w:val="24"/>
        </w:rPr>
        <w:t>Outras iniciativas de destaque ocorreram em 1983, com a criação do</w:t>
      </w:r>
      <w:r w:rsidR="00F75655" w:rsidRPr="00F75655">
        <w:rPr>
          <w:rFonts w:ascii="Times New Roman" w:hAnsi="Times New Roman" w:cs="Times New Roman"/>
          <w:sz w:val="24"/>
          <w:szCs w:val="24"/>
        </w:rPr>
        <w:t xml:space="preserve"> Programa </w:t>
      </w:r>
      <w:r w:rsidR="00EB38BF">
        <w:rPr>
          <w:rFonts w:ascii="Times New Roman" w:hAnsi="Times New Roman" w:cs="Times New Roman"/>
          <w:sz w:val="24"/>
          <w:szCs w:val="24"/>
        </w:rPr>
        <w:t>de Óleos Vegetais – OVEG</w:t>
      </w:r>
      <w:r w:rsidR="00A70A0A">
        <w:rPr>
          <w:rFonts w:ascii="Times New Roman" w:hAnsi="Times New Roman" w:cs="Times New Roman"/>
          <w:sz w:val="24"/>
          <w:szCs w:val="24"/>
        </w:rPr>
        <w:t>, e</w:t>
      </w:r>
      <w:r w:rsidR="00E9771C">
        <w:rPr>
          <w:rFonts w:ascii="Times New Roman" w:hAnsi="Times New Roman" w:cs="Times New Roman"/>
          <w:sz w:val="24"/>
          <w:szCs w:val="24"/>
        </w:rPr>
        <w:t xml:space="preserve"> em 2002, com a criação do </w:t>
      </w:r>
      <w:r w:rsidR="00E9771C" w:rsidRPr="00E9771C">
        <w:rPr>
          <w:rFonts w:ascii="Times New Roman" w:hAnsi="Times New Roman" w:cs="Times New Roman"/>
          <w:sz w:val="24"/>
          <w:szCs w:val="24"/>
        </w:rPr>
        <w:t>Programa</w:t>
      </w:r>
      <w:r w:rsidR="00E9771C">
        <w:rPr>
          <w:rFonts w:ascii="Times New Roman" w:hAnsi="Times New Roman" w:cs="Times New Roman"/>
          <w:sz w:val="24"/>
          <w:szCs w:val="24"/>
        </w:rPr>
        <w:t xml:space="preserve"> Brasileiro de Biocombustíveis  – </w:t>
      </w:r>
      <w:r w:rsidR="00E9771C" w:rsidRPr="00E9771C">
        <w:rPr>
          <w:rFonts w:ascii="Times New Roman" w:hAnsi="Times New Roman" w:cs="Times New Roman"/>
          <w:sz w:val="24"/>
          <w:szCs w:val="24"/>
        </w:rPr>
        <w:t>P</w:t>
      </w:r>
      <w:r w:rsidR="00E9771C">
        <w:rPr>
          <w:rFonts w:ascii="Times New Roman" w:hAnsi="Times New Roman" w:cs="Times New Roman"/>
          <w:sz w:val="24"/>
          <w:szCs w:val="24"/>
        </w:rPr>
        <w:t>ROBIODIESEL.</w:t>
      </w:r>
      <w:r w:rsidR="005563EE">
        <w:rPr>
          <w:rFonts w:ascii="Times New Roman" w:hAnsi="Times New Roman" w:cs="Times New Roman"/>
          <w:sz w:val="24"/>
          <w:szCs w:val="24"/>
        </w:rPr>
        <w:t xml:space="preserve"> Apesar de não lograrem êxito em impulsionar a produção </w:t>
      </w:r>
      <w:r w:rsidR="00A70A0A">
        <w:rPr>
          <w:rFonts w:ascii="Times New Roman" w:hAnsi="Times New Roman" w:cs="Times New Roman"/>
          <w:sz w:val="24"/>
          <w:szCs w:val="24"/>
        </w:rPr>
        <w:t>em larga escala de</w:t>
      </w:r>
      <w:r w:rsidR="005563EE">
        <w:rPr>
          <w:rFonts w:ascii="Times New Roman" w:hAnsi="Times New Roman" w:cs="Times New Roman"/>
          <w:sz w:val="24"/>
          <w:szCs w:val="24"/>
        </w:rPr>
        <w:t xml:space="preserve"> biodiesel, </w:t>
      </w:r>
      <w:r w:rsidR="00781EBE">
        <w:rPr>
          <w:rFonts w:ascii="Times New Roman" w:hAnsi="Times New Roman" w:cs="Times New Roman"/>
          <w:sz w:val="24"/>
          <w:szCs w:val="24"/>
        </w:rPr>
        <w:t>a experiência acumulada nesse período foi importante</w:t>
      </w:r>
      <w:r w:rsidR="005563EE">
        <w:rPr>
          <w:rFonts w:ascii="Times New Roman" w:hAnsi="Times New Roman" w:cs="Times New Roman"/>
          <w:sz w:val="24"/>
          <w:szCs w:val="24"/>
        </w:rPr>
        <w:t xml:space="preserve"> </w:t>
      </w:r>
      <w:r w:rsidR="00E9771C">
        <w:rPr>
          <w:rFonts w:ascii="Times New Roman" w:hAnsi="Times New Roman" w:cs="Times New Roman"/>
          <w:sz w:val="24"/>
          <w:szCs w:val="24"/>
        </w:rPr>
        <w:t>por promover a discussão entre os diferentes elos da cadeia e o setor governamental sobre as bases da viabilização técnica e econômica da produção no país</w:t>
      </w:r>
      <w:r w:rsidR="00F75655">
        <w:rPr>
          <w:rFonts w:ascii="Times New Roman" w:hAnsi="Times New Roman" w:cs="Times New Roman"/>
          <w:sz w:val="24"/>
          <w:szCs w:val="24"/>
        </w:rPr>
        <w:t>.</w:t>
      </w:r>
      <w:r w:rsidR="005563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B76" w:rsidRDefault="005563EE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4E2EFA">
        <w:rPr>
          <w:rFonts w:ascii="Times New Roman" w:hAnsi="Times New Roman" w:cs="Times New Roman"/>
          <w:sz w:val="24"/>
          <w:szCs w:val="24"/>
        </w:rPr>
        <w:t xml:space="preserve">oi apenas com o </w:t>
      </w:r>
      <w:r w:rsidR="008C1622">
        <w:rPr>
          <w:rFonts w:ascii="Times New Roman" w:hAnsi="Times New Roman" w:cs="Times New Roman"/>
          <w:sz w:val="24"/>
          <w:szCs w:val="24"/>
        </w:rPr>
        <w:t xml:space="preserve">lançamento do </w:t>
      </w:r>
      <w:r w:rsidR="004E2EFA" w:rsidRPr="004E2EFA">
        <w:rPr>
          <w:rFonts w:ascii="Times New Roman" w:hAnsi="Times New Roman" w:cs="Times New Roman"/>
          <w:sz w:val="24"/>
          <w:szCs w:val="24"/>
        </w:rPr>
        <w:t>Programa Nacional de Produção e Uso de Biodiesel</w:t>
      </w:r>
      <w:r w:rsidR="00E8641C">
        <w:rPr>
          <w:rFonts w:ascii="Times New Roman" w:hAnsi="Times New Roman" w:cs="Times New Roman"/>
          <w:sz w:val="24"/>
          <w:szCs w:val="24"/>
        </w:rPr>
        <w:t xml:space="preserve"> – PNPB</w:t>
      </w:r>
      <w:r w:rsidR="004E2EFA">
        <w:rPr>
          <w:rFonts w:ascii="Times New Roman" w:hAnsi="Times New Roman" w:cs="Times New Roman"/>
          <w:sz w:val="24"/>
          <w:szCs w:val="24"/>
        </w:rPr>
        <w:t xml:space="preserve">, em </w:t>
      </w:r>
      <w:r w:rsidR="00AC24E4">
        <w:rPr>
          <w:rFonts w:ascii="Times New Roman" w:hAnsi="Times New Roman" w:cs="Times New Roman"/>
          <w:sz w:val="24"/>
          <w:szCs w:val="24"/>
        </w:rPr>
        <w:t>2004</w:t>
      </w:r>
      <w:r w:rsidR="00F75655">
        <w:rPr>
          <w:rFonts w:ascii="Times New Roman" w:hAnsi="Times New Roman" w:cs="Times New Roman"/>
          <w:sz w:val="24"/>
          <w:szCs w:val="24"/>
        </w:rPr>
        <w:t xml:space="preserve">, que o biocombustível passou a ser </w:t>
      </w:r>
      <w:r w:rsidR="002B2F71">
        <w:rPr>
          <w:rFonts w:ascii="Times New Roman" w:hAnsi="Times New Roman" w:cs="Times New Roman"/>
          <w:sz w:val="24"/>
          <w:szCs w:val="24"/>
        </w:rPr>
        <w:t xml:space="preserve">largamente </w:t>
      </w:r>
      <w:r w:rsidR="00F75655">
        <w:rPr>
          <w:rFonts w:ascii="Times New Roman" w:hAnsi="Times New Roman" w:cs="Times New Roman"/>
          <w:sz w:val="24"/>
          <w:szCs w:val="24"/>
        </w:rPr>
        <w:t>utiliza</w:t>
      </w:r>
      <w:r w:rsidR="002B2F71">
        <w:rPr>
          <w:rFonts w:ascii="Times New Roman" w:hAnsi="Times New Roman" w:cs="Times New Roman"/>
          <w:sz w:val="24"/>
          <w:szCs w:val="24"/>
        </w:rPr>
        <w:t xml:space="preserve">do </w:t>
      </w:r>
      <w:r w:rsidR="00F75655">
        <w:rPr>
          <w:rFonts w:ascii="Times New Roman" w:hAnsi="Times New Roman" w:cs="Times New Roman"/>
          <w:sz w:val="24"/>
          <w:szCs w:val="24"/>
        </w:rPr>
        <w:t xml:space="preserve">em </w:t>
      </w:r>
      <w:r w:rsidR="002B2F71">
        <w:rPr>
          <w:rFonts w:ascii="Times New Roman" w:hAnsi="Times New Roman" w:cs="Times New Roman"/>
          <w:sz w:val="24"/>
          <w:szCs w:val="24"/>
        </w:rPr>
        <w:t>substituição parcial</w:t>
      </w:r>
      <w:r w:rsidR="00F75655">
        <w:rPr>
          <w:rFonts w:ascii="Times New Roman" w:hAnsi="Times New Roman" w:cs="Times New Roman"/>
          <w:sz w:val="24"/>
          <w:szCs w:val="24"/>
        </w:rPr>
        <w:t xml:space="preserve"> ao </w:t>
      </w:r>
      <w:r w:rsidR="002B2F71">
        <w:rPr>
          <w:rFonts w:ascii="Times New Roman" w:hAnsi="Times New Roman" w:cs="Times New Roman"/>
          <w:sz w:val="24"/>
          <w:szCs w:val="24"/>
        </w:rPr>
        <w:t xml:space="preserve">óleo </w:t>
      </w:r>
      <w:r w:rsidR="00F75655">
        <w:rPr>
          <w:rFonts w:ascii="Times New Roman" w:hAnsi="Times New Roman" w:cs="Times New Roman"/>
          <w:sz w:val="24"/>
          <w:szCs w:val="24"/>
        </w:rPr>
        <w:t>diesel</w:t>
      </w:r>
      <w:r w:rsidR="002B2F71">
        <w:rPr>
          <w:rFonts w:ascii="Times New Roman" w:hAnsi="Times New Roman" w:cs="Times New Roman"/>
          <w:sz w:val="24"/>
          <w:szCs w:val="24"/>
        </w:rPr>
        <w:t xml:space="preserve"> do petróleo em motores automotivos</w:t>
      </w:r>
      <w:r w:rsidR="0028659D">
        <w:rPr>
          <w:rFonts w:ascii="Times New Roman" w:hAnsi="Times New Roman" w:cs="Times New Roman"/>
          <w:sz w:val="24"/>
          <w:szCs w:val="24"/>
        </w:rPr>
        <w:t xml:space="preserve"> (de caminhões, tratores, automóveis, etc.) e estacionários (geradores de eletricidade, calor, etc.)</w:t>
      </w:r>
      <w:r w:rsidR="00F75655">
        <w:rPr>
          <w:rFonts w:ascii="Times New Roman" w:hAnsi="Times New Roman" w:cs="Times New Roman"/>
          <w:sz w:val="24"/>
          <w:szCs w:val="24"/>
        </w:rPr>
        <w:t>.</w:t>
      </w:r>
      <w:r w:rsidR="004E2EFA">
        <w:rPr>
          <w:rFonts w:ascii="Times New Roman" w:hAnsi="Times New Roman" w:cs="Times New Roman"/>
          <w:sz w:val="24"/>
          <w:szCs w:val="24"/>
        </w:rPr>
        <w:t xml:space="preserve"> </w:t>
      </w:r>
      <w:r w:rsidR="00A70A0A">
        <w:rPr>
          <w:rFonts w:ascii="Times New Roman" w:hAnsi="Times New Roman" w:cs="Times New Roman"/>
          <w:sz w:val="24"/>
          <w:szCs w:val="24"/>
        </w:rPr>
        <w:t>Como resultado do avanço d</w:t>
      </w:r>
      <w:r w:rsidR="002D5B7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2D5B76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2D5B76">
        <w:rPr>
          <w:rFonts w:ascii="Times New Roman" w:hAnsi="Times New Roman" w:cs="Times New Roman"/>
          <w:sz w:val="24"/>
          <w:szCs w:val="24"/>
        </w:rPr>
        <w:t xml:space="preserve"> do</w:t>
      </w:r>
      <w:r w:rsidR="00E8641C">
        <w:rPr>
          <w:rFonts w:ascii="Times New Roman" w:hAnsi="Times New Roman" w:cs="Times New Roman"/>
          <w:sz w:val="24"/>
          <w:szCs w:val="24"/>
        </w:rPr>
        <w:t xml:space="preserve"> PNPB, </w:t>
      </w:r>
      <w:r w:rsidR="002E1483" w:rsidRPr="00334CB3">
        <w:rPr>
          <w:rFonts w:ascii="Times New Roman" w:hAnsi="Times New Roman" w:cs="Times New Roman"/>
          <w:color w:val="000000" w:themeColor="text1"/>
          <w:sz w:val="24"/>
          <w:szCs w:val="24"/>
        </w:rPr>
        <w:t>em 2010</w:t>
      </w:r>
      <w:r w:rsidR="002E1483">
        <w:rPr>
          <w:rFonts w:ascii="Times New Roman" w:hAnsi="Times New Roman" w:cs="Times New Roman"/>
          <w:sz w:val="24"/>
          <w:szCs w:val="24"/>
        </w:rPr>
        <w:t xml:space="preserve"> </w:t>
      </w:r>
      <w:r w:rsidR="002D5B76">
        <w:rPr>
          <w:rFonts w:ascii="Times New Roman" w:hAnsi="Times New Roman" w:cs="Times New Roman"/>
          <w:sz w:val="24"/>
          <w:szCs w:val="24"/>
        </w:rPr>
        <w:t>o</w:t>
      </w:r>
      <w:r w:rsidR="002D5B76" w:rsidRPr="002D5B76">
        <w:rPr>
          <w:rFonts w:ascii="Times New Roman" w:hAnsi="Times New Roman" w:cs="Times New Roman"/>
          <w:sz w:val="24"/>
          <w:szCs w:val="24"/>
        </w:rPr>
        <w:t xml:space="preserve"> Brasil </w:t>
      </w:r>
      <w:r w:rsidR="002D5B76">
        <w:rPr>
          <w:rFonts w:ascii="Times New Roman" w:hAnsi="Times New Roman" w:cs="Times New Roman"/>
          <w:sz w:val="24"/>
          <w:szCs w:val="24"/>
        </w:rPr>
        <w:t>se tornou</w:t>
      </w:r>
      <w:r w:rsidR="00F74959">
        <w:rPr>
          <w:rFonts w:ascii="Times New Roman" w:hAnsi="Times New Roman" w:cs="Times New Roman"/>
          <w:sz w:val="24"/>
          <w:szCs w:val="24"/>
        </w:rPr>
        <w:t xml:space="preserve"> o segundo maior produtor mundial de biodiesel, sendo superado apenas pela Alemanha</w:t>
      </w:r>
      <w:r w:rsidR="00334CB3">
        <w:rPr>
          <w:rFonts w:ascii="Times New Roman" w:hAnsi="Times New Roman" w:cs="Times New Roman"/>
          <w:sz w:val="24"/>
          <w:szCs w:val="24"/>
        </w:rPr>
        <w:t xml:space="preserve"> (OIL WORLD, 2011)</w:t>
      </w:r>
      <w:r w:rsidR="00EB38BF">
        <w:rPr>
          <w:rFonts w:ascii="Times New Roman" w:hAnsi="Times New Roman" w:cs="Times New Roman"/>
          <w:sz w:val="24"/>
          <w:szCs w:val="24"/>
        </w:rPr>
        <w:t xml:space="preserve">. </w:t>
      </w:r>
      <w:r w:rsidR="002D5B76" w:rsidRPr="002D5B76">
        <w:rPr>
          <w:rFonts w:ascii="Times New Roman" w:hAnsi="Times New Roman" w:cs="Times New Roman"/>
          <w:sz w:val="24"/>
          <w:szCs w:val="24"/>
        </w:rPr>
        <w:t xml:space="preserve"> </w:t>
      </w:r>
      <w:r w:rsidR="00EB38BF">
        <w:rPr>
          <w:rFonts w:ascii="Times New Roman" w:hAnsi="Times New Roman" w:cs="Times New Roman"/>
          <w:sz w:val="24"/>
          <w:szCs w:val="24"/>
        </w:rPr>
        <w:t>Segundo dados da Agência Nacional do Petróleo, Gás Natural e Biocombustíveis – ANP (2011</w:t>
      </w:r>
      <w:r w:rsidR="002255B3">
        <w:rPr>
          <w:rFonts w:ascii="Times New Roman" w:hAnsi="Times New Roman" w:cs="Times New Roman"/>
          <w:sz w:val="24"/>
          <w:szCs w:val="24"/>
        </w:rPr>
        <w:t>a</w:t>
      </w:r>
      <w:r w:rsidR="009E550B">
        <w:rPr>
          <w:rFonts w:ascii="Times New Roman" w:hAnsi="Times New Roman" w:cs="Times New Roman"/>
          <w:sz w:val="24"/>
          <w:szCs w:val="24"/>
        </w:rPr>
        <w:t>, p. 181</w:t>
      </w:r>
      <w:r w:rsidR="00EB38BF">
        <w:rPr>
          <w:rFonts w:ascii="Times New Roman" w:hAnsi="Times New Roman" w:cs="Times New Roman"/>
          <w:sz w:val="24"/>
          <w:szCs w:val="24"/>
        </w:rPr>
        <w:t>), a produção</w:t>
      </w:r>
      <w:r w:rsidR="00531F9C">
        <w:rPr>
          <w:rFonts w:ascii="Times New Roman" w:hAnsi="Times New Roman" w:cs="Times New Roman"/>
          <w:sz w:val="24"/>
          <w:szCs w:val="24"/>
        </w:rPr>
        <w:t xml:space="preserve"> brasileira de biodiesel atingiu</w:t>
      </w:r>
      <w:r w:rsidR="002D5B76" w:rsidRPr="002D5B76">
        <w:rPr>
          <w:rFonts w:ascii="Times New Roman" w:hAnsi="Times New Roman" w:cs="Times New Roman"/>
          <w:sz w:val="24"/>
          <w:szCs w:val="24"/>
        </w:rPr>
        <w:t xml:space="preserve"> 2,4 </w:t>
      </w:r>
      <w:r w:rsidR="002D5B76" w:rsidRPr="002D5B76">
        <w:rPr>
          <w:rFonts w:ascii="Times New Roman" w:hAnsi="Times New Roman" w:cs="Times New Roman"/>
          <w:sz w:val="24"/>
          <w:szCs w:val="24"/>
        </w:rPr>
        <w:lastRenderedPageBreak/>
        <w:t xml:space="preserve">bilhões de litros </w:t>
      </w:r>
      <w:r w:rsidR="00EB38BF">
        <w:rPr>
          <w:rFonts w:ascii="Times New Roman" w:hAnsi="Times New Roman" w:cs="Times New Roman"/>
          <w:sz w:val="24"/>
          <w:szCs w:val="24"/>
        </w:rPr>
        <w:t>em 2010</w:t>
      </w:r>
      <w:r w:rsidR="00531F9C">
        <w:rPr>
          <w:rFonts w:ascii="Times New Roman" w:hAnsi="Times New Roman" w:cs="Times New Roman"/>
          <w:sz w:val="24"/>
          <w:szCs w:val="24"/>
        </w:rPr>
        <w:t>, o que contribui</w:t>
      </w:r>
      <w:r w:rsidR="00132144">
        <w:rPr>
          <w:rFonts w:ascii="Times New Roman" w:hAnsi="Times New Roman" w:cs="Times New Roman"/>
          <w:sz w:val="24"/>
          <w:szCs w:val="24"/>
        </w:rPr>
        <w:t>u</w:t>
      </w:r>
      <w:r w:rsidR="00531F9C">
        <w:rPr>
          <w:rFonts w:ascii="Times New Roman" w:hAnsi="Times New Roman" w:cs="Times New Roman"/>
          <w:sz w:val="24"/>
          <w:szCs w:val="24"/>
        </w:rPr>
        <w:t xml:space="preserve"> para a redução das import</w:t>
      </w:r>
      <w:r w:rsidR="00621983">
        <w:rPr>
          <w:rFonts w:ascii="Times New Roman" w:hAnsi="Times New Roman" w:cs="Times New Roman"/>
          <w:sz w:val="24"/>
          <w:szCs w:val="24"/>
        </w:rPr>
        <w:t>ações de óleo diesel e a melhoria do saldo de divisas d</w:t>
      </w:r>
      <w:r w:rsidR="00531F9C">
        <w:rPr>
          <w:rFonts w:ascii="Times New Roman" w:hAnsi="Times New Roman" w:cs="Times New Roman"/>
          <w:sz w:val="24"/>
          <w:szCs w:val="24"/>
        </w:rPr>
        <w:t>o país</w:t>
      </w:r>
      <w:r w:rsidR="002A70AB">
        <w:rPr>
          <w:rFonts w:ascii="Times New Roman" w:hAnsi="Times New Roman" w:cs="Times New Roman"/>
          <w:sz w:val="24"/>
          <w:szCs w:val="24"/>
        </w:rPr>
        <w:t>.</w:t>
      </w:r>
    </w:p>
    <w:p w:rsidR="00083A69" w:rsidRDefault="005A118E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Rio Grande do Sul é o principal estado produtor de biodiesel no Brasil, </w:t>
      </w:r>
      <w:r w:rsidR="002A70AB">
        <w:rPr>
          <w:rFonts w:ascii="Times New Roman" w:hAnsi="Times New Roman" w:cs="Times New Roman"/>
          <w:sz w:val="24"/>
          <w:szCs w:val="24"/>
        </w:rPr>
        <w:t>tendo respondido</w:t>
      </w:r>
      <w:r>
        <w:rPr>
          <w:rFonts w:ascii="Times New Roman" w:hAnsi="Times New Roman" w:cs="Times New Roman"/>
          <w:sz w:val="24"/>
          <w:szCs w:val="24"/>
        </w:rPr>
        <w:t xml:space="preserve"> por mais de 25% da produção nacional</w:t>
      </w:r>
      <w:r w:rsidR="002A70AB">
        <w:rPr>
          <w:rFonts w:ascii="Times New Roman" w:hAnsi="Times New Roman" w:cs="Times New Roman"/>
          <w:sz w:val="24"/>
          <w:szCs w:val="24"/>
        </w:rPr>
        <w:t xml:space="preserve"> em 2010</w:t>
      </w:r>
      <w:r w:rsidR="003A070B">
        <w:rPr>
          <w:rFonts w:ascii="Times New Roman" w:hAnsi="Times New Roman" w:cs="Times New Roman"/>
          <w:sz w:val="24"/>
          <w:szCs w:val="24"/>
        </w:rPr>
        <w:t>, e abriga aproximadamente</w:t>
      </w:r>
      <w:r w:rsidR="000F1490">
        <w:rPr>
          <w:rFonts w:ascii="Times New Roman" w:hAnsi="Times New Roman" w:cs="Times New Roman"/>
          <w:sz w:val="24"/>
          <w:szCs w:val="24"/>
        </w:rPr>
        <w:t xml:space="preserve"> 21% da capacidade </w:t>
      </w:r>
      <w:r w:rsidR="003A070B">
        <w:rPr>
          <w:rFonts w:ascii="Times New Roman" w:hAnsi="Times New Roman" w:cs="Times New Roman"/>
          <w:sz w:val="24"/>
          <w:szCs w:val="24"/>
        </w:rPr>
        <w:t xml:space="preserve">nominal </w:t>
      </w:r>
      <w:r w:rsidR="000F1490">
        <w:rPr>
          <w:rFonts w:ascii="Times New Roman" w:hAnsi="Times New Roman" w:cs="Times New Roman"/>
          <w:sz w:val="24"/>
          <w:szCs w:val="24"/>
        </w:rPr>
        <w:t>instalada da indústria brasileira</w:t>
      </w:r>
      <w:r w:rsidR="003A070B">
        <w:rPr>
          <w:rFonts w:ascii="Times New Roman" w:hAnsi="Times New Roman" w:cs="Times New Roman"/>
          <w:sz w:val="24"/>
          <w:szCs w:val="24"/>
        </w:rPr>
        <w:t xml:space="preserve"> (ANP, 2011</w:t>
      </w:r>
      <w:r w:rsidR="002255B3">
        <w:rPr>
          <w:rFonts w:ascii="Times New Roman" w:hAnsi="Times New Roman" w:cs="Times New Roman"/>
          <w:sz w:val="24"/>
          <w:szCs w:val="24"/>
        </w:rPr>
        <w:t>a</w:t>
      </w:r>
      <w:r w:rsidR="003A070B">
        <w:rPr>
          <w:rFonts w:ascii="Times New Roman" w:hAnsi="Times New Roman" w:cs="Times New Roman"/>
          <w:sz w:val="24"/>
          <w:szCs w:val="24"/>
        </w:rPr>
        <w:t>). Em 2009,</w:t>
      </w:r>
      <w:r w:rsidR="000F1490">
        <w:rPr>
          <w:rFonts w:ascii="Times New Roman" w:hAnsi="Times New Roman" w:cs="Times New Roman"/>
          <w:sz w:val="24"/>
          <w:szCs w:val="24"/>
        </w:rPr>
        <w:t xml:space="preserve"> o valor da produção gerada </w:t>
      </w:r>
      <w:r w:rsidR="003A070B">
        <w:rPr>
          <w:rFonts w:ascii="Times New Roman" w:hAnsi="Times New Roman" w:cs="Times New Roman"/>
          <w:sz w:val="24"/>
          <w:szCs w:val="24"/>
        </w:rPr>
        <w:t xml:space="preserve">pela indústria do biodiesel </w:t>
      </w:r>
      <w:r w:rsidR="000831C6">
        <w:rPr>
          <w:rFonts w:ascii="Times New Roman" w:hAnsi="Times New Roman" w:cs="Times New Roman"/>
          <w:sz w:val="24"/>
          <w:szCs w:val="24"/>
        </w:rPr>
        <w:t>gaúcha</w:t>
      </w:r>
      <w:r w:rsidR="003A070B">
        <w:rPr>
          <w:rFonts w:ascii="Times New Roman" w:hAnsi="Times New Roman" w:cs="Times New Roman"/>
          <w:sz w:val="24"/>
          <w:szCs w:val="24"/>
        </w:rPr>
        <w:t xml:space="preserve"> foi de </w:t>
      </w:r>
      <w:r w:rsidR="000F1490">
        <w:rPr>
          <w:rFonts w:ascii="Times New Roman" w:hAnsi="Times New Roman" w:cs="Times New Roman"/>
          <w:sz w:val="24"/>
          <w:szCs w:val="24"/>
        </w:rPr>
        <w:t>R$ 946 milhões</w:t>
      </w:r>
      <w:r w:rsidR="00D0706D">
        <w:rPr>
          <w:rFonts w:ascii="Times New Roman" w:hAnsi="Times New Roman" w:cs="Times New Roman"/>
          <w:sz w:val="24"/>
          <w:szCs w:val="24"/>
        </w:rPr>
        <w:t xml:space="preserve"> </w:t>
      </w:r>
      <w:r w:rsidR="00B62CB2">
        <w:rPr>
          <w:rFonts w:ascii="Times New Roman" w:hAnsi="Times New Roman" w:cs="Times New Roman"/>
          <w:sz w:val="24"/>
          <w:szCs w:val="24"/>
        </w:rPr>
        <w:t xml:space="preserve">segundo dados do </w:t>
      </w:r>
      <w:r w:rsidR="00132144" w:rsidRPr="00132144">
        <w:rPr>
          <w:rFonts w:ascii="Times New Roman" w:hAnsi="Times New Roman" w:cs="Times New Roman"/>
          <w:color w:val="000000" w:themeColor="text1"/>
          <w:sz w:val="24"/>
          <w:szCs w:val="24"/>
        </w:rPr>
        <w:t>IBGE (2009, p. 134</w:t>
      </w:r>
      <w:r w:rsidR="00B62CB2" w:rsidRPr="00132144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7639" w:rsidRDefault="004A2610" w:rsidP="006F74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desenvolvimento da indústria do biodiesel </w:t>
      </w:r>
      <w:r w:rsidR="00D72655">
        <w:rPr>
          <w:rFonts w:ascii="Times New Roman" w:hAnsi="Times New Roman" w:cs="Times New Roman"/>
          <w:sz w:val="24"/>
          <w:szCs w:val="24"/>
        </w:rPr>
        <w:t>no Rio Grande do Sul pode ser considerado</w:t>
      </w:r>
      <w:r>
        <w:rPr>
          <w:rFonts w:ascii="Times New Roman" w:hAnsi="Times New Roman" w:cs="Times New Roman"/>
          <w:sz w:val="24"/>
          <w:szCs w:val="24"/>
        </w:rPr>
        <w:t xml:space="preserve"> estratégico</w:t>
      </w:r>
      <w:r w:rsidR="00083A69">
        <w:rPr>
          <w:rFonts w:ascii="Times New Roman" w:hAnsi="Times New Roman" w:cs="Times New Roman"/>
          <w:sz w:val="24"/>
          <w:szCs w:val="24"/>
        </w:rPr>
        <w:t xml:space="preserve"> por </w:t>
      </w:r>
      <w:r w:rsidR="00D72655">
        <w:rPr>
          <w:rFonts w:ascii="Times New Roman" w:hAnsi="Times New Roman" w:cs="Times New Roman"/>
          <w:sz w:val="24"/>
          <w:szCs w:val="24"/>
        </w:rPr>
        <w:t xml:space="preserve">pelo menos três </w:t>
      </w:r>
      <w:r w:rsidR="00083A69">
        <w:rPr>
          <w:rFonts w:ascii="Times New Roman" w:hAnsi="Times New Roman" w:cs="Times New Roman"/>
          <w:sz w:val="24"/>
          <w:szCs w:val="24"/>
        </w:rPr>
        <w:t xml:space="preserve">fatores. Primeiro, por tratar-se do terceiro maior </w:t>
      </w:r>
      <w:r w:rsidR="00B07FB7">
        <w:rPr>
          <w:rFonts w:ascii="Times New Roman" w:hAnsi="Times New Roman" w:cs="Times New Roman"/>
          <w:sz w:val="24"/>
          <w:szCs w:val="24"/>
        </w:rPr>
        <w:t xml:space="preserve">estado </w:t>
      </w:r>
      <w:r w:rsidR="00083A69">
        <w:rPr>
          <w:rFonts w:ascii="Times New Roman" w:hAnsi="Times New Roman" w:cs="Times New Roman"/>
          <w:sz w:val="24"/>
          <w:szCs w:val="24"/>
        </w:rPr>
        <w:t xml:space="preserve">produtor </w:t>
      </w:r>
      <w:r>
        <w:rPr>
          <w:rFonts w:ascii="Times New Roman" w:hAnsi="Times New Roman" w:cs="Times New Roman"/>
          <w:sz w:val="24"/>
          <w:szCs w:val="24"/>
        </w:rPr>
        <w:t xml:space="preserve">e exportador </w:t>
      </w:r>
      <w:r w:rsidR="00B07FB7">
        <w:rPr>
          <w:rFonts w:ascii="Times New Roman" w:hAnsi="Times New Roman" w:cs="Times New Roman"/>
          <w:sz w:val="24"/>
          <w:szCs w:val="24"/>
        </w:rPr>
        <w:t xml:space="preserve">brasileiro </w:t>
      </w:r>
      <w:r w:rsidR="00D25A5B">
        <w:rPr>
          <w:rFonts w:ascii="Times New Roman" w:hAnsi="Times New Roman" w:cs="Times New Roman"/>
          <w:sz w:val="24"/>
          <w:szCs w:val="24"/>
        </w:rPr>
        <w:t>de soja</w:t>
      </w:r>
      <w:r w:rsidR="002E148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083A69">
        <w:rPr>
          <w:rFonts w:ascii="Times New Roman" w:hAnsi="Times New Roman" w:cs="Times New Roman"/>
          <w:sz w:val="24"/>
          <w:szCs w:val="24"/>
        </w:rPr>
        <w:t xml:space="preserve"> </w:t>
      </w:r>
      <w:r w:rsidR="00D25A5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principal matéria prima para </w:t>
      </w:r>
      <w:r w:rsidR="00B07FB7">
        <w:rPr>
          <w:rFonts w:ascii="Times New Roman" w:hAnsi="Times New Roman" w:cs="Times New Roman"/>
          <w:sz w:val="24"/>
          <w:szCs w:val="24"/>
        </w:rPr>
        <w:t xml:space="preserve">a </w:t>
      </w:r>
      <w:r w:rsidR="00D25A5B">
        <w:rPr>
          <w:rFonts w:ascii="Times New Roman" w:hAnsi="Times New Roman" w:cs="Times New Roman"/>
          <w:sz w:val="24"/>
          <w:szCs w:val="24"/>
        </w:rPr>
        <w:t>produção de biodiesel</w:t>
      </w:r>
      <w:r w:rsidR="000831C6">
        <w:rPr>
          <w:rFonts w:ascii="Times New Roman" w:hAnsi="Times New Roman" w:cs="Times New Roman"/>
          <w:sz w:val="24"/>
          <w:szCs w:val="24"/>
        </w:rPr>
        <w:t xml:space="preserve"> no país</w:t>
      </w:r>
      <w:r w:rsidR="00D25A5B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a industrialização do produto representa uma oportunidade para agregar valor e gerar </w:t>
      </w:r>
      <w:r w:rsidR="00D25A5B">
        <w:rPr>
          <w:rFonts w:ascii="Times New Roman" w:hAnsi="Times New Roman" w:cs="Times New Roman"/>
          <w:sz w:val="24"/>
          <w:szCs w:val="24"/>
        </w:rPr>
        <w:t xml:space="preserve">emprego e </w:t>
      </w:r>
      <w:r>
        <w:rPr>
          <w:rFonts w:ascii="Times New Roman" w:hAnsi="Times New Roman" w:cs="Times New Roman"/>
          <w:sz w:val="24"/>
          <w:szCs w:val="24"/>
        </w:rPr>
        <w:t xml:space="preserve">renda localmente. Segundo, em razão de </w:t>
      </w:r>
      <w:r w:rsidR="00564DC3">
        <w:rPr>
          <w:rFonts w:ascii="Times New Roman" w:hAnsi="Times New Roman" w:cs="Times New Roman"/>
          <w:sz w:val="24"/>
          <w:szCs w:val="24"/>
        </w:rPr>
        <w:t>o PNPB privilegiar a aquisição de soja produzida por agricultores familiares, e o Rio Gran</w:t>
      </w:r>
      <w:r w:rsidR="00D45EC7">
        <w:rPr>
          <w:rFonts w:ascii="Times New Roman" w:hAnsi="Times New Roman" w:cs="Times New Roman"/>
          <w:sz w:val="24"/>
          <w:szCs w:val="24"/>
        </w:rPr>
        <w:t xml:space="preserve">de do Sul </w:t>
      </w:r>
      <w:r w:rsidR="002E60B2">
        <w:rPr>
          <w:rFonts w:ascii="Times New Roman" w:hAnsi="Times New Roman" w:cs="Times New Roman"/>
          <w:sz w:val="24"/>
          <w:szCs w:val="24"/>
        </w:rPr>
        <w:t>reunir</w:t>
      </w:r>
      <w:r w:rsidR="00564DC3">
        <w:rPr>
          <w:rFonts w:ascii="Times New Roman" w:hAnsi="Times New Roman" w:cs="Times New Roman"/>
          <w:sz w:val="24"/>
          <w:szCs w:val="24"/>
        </w:rPr>
        <w:t xml:space="preserve"> </w:t>
      </w:r>
      <w:r w:rsidR="002E60B2">
        <w:rPr>
          <w:rFonts w:ascii="Times New Roman" w:hAnsi="Times New Roman" w:cs="Times New Roman"/>
          <w:sz w:val="24"/>
          <w:szCs w:val="24"/>
        </w:rPr>
        <w:t>grande número</w:t>
      </w:r>
      <w:r w:rsidR="00564DC3">
        <w:rPr>
          <w:rFonts w:ascii="Times New Roman" w:hAnsi="Times New Roman" w:cs="Times New Roman"/>
          <w:sz w:val="24"/>
          <w:szCs w:val="24"/>
        </w:rPr>
        <w:t xml:space="preserve"> de agricultores nessa condição</w:t>
      </w:r>
      <w:r w:rsidR="00D5255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564DC3">
        <w:rPr>
          <w:rFonts w:ascii="Times New Roman" w:hAnsi="Times New Roman" w:cs="Times New Roman"/>
          <w:sz w:val="24"/>
          <w:szCs w:val="24"/>
        </w:rPr>
        <w:t xml:space="preserve">, existe uma </w:t>
      </w:r>
      <w:r w:rsidR="00CB279E">
        <w:rPr>
          <w:rFonts w:ascii="Times New Roman" w:hAnsi="Times New Roman" w:cs="Times New Roman"/>
          <w:sz w:val="24"/>
          <w:szCs w:val="24"/>
        </w:rPr>
        <w:t>janela de oportunidades local</w:t>
      </w:r>
      <w:r w:rsidR="00564DC3">
        <w:rPr>
          <w:rFonts w:ascii="Times New Roman" w:hAnsi="Times New Roman" w:cs="Times New Roman"/>
          <w:sz w:val="24"/>
          <w:szCs w:val="24"/>
        </w:rPr>
        <w:t xml:space="preserve"> que</w:t>
      </w:r>
      <w:r w:rsidR="00D72655">
        <w:rPr>
          <w:rFonts w:ascii="Times New Roman" w:hAnsi="Times New Roman" w:cs="Times New Roman"/>
          <w:sz w:val="24"/>
          <w:szCs w:val="24"/>
        </w:rPr>
        <w:t>,</w:t>
      </w:r>
      <w:r w:rsidR="00564DC3">
        <w:rPr>
          <w:rFonts w:ascii="Times New Roman" w:hAnsi="Times New Roman" w:cs="Times New Roman"/>
          <w:sz w:val="24"/>
          <w:szCs w:val="24"/>
        </w:rPr>
        <w:t xml:space="preserve"> </w:t>
      </w:r>
      <w:r w:rsidR="00B07FB7">
        <w:rPr>
          <w:rFonts w:ascii="Times New Roman" w:hAnsi="Times New Roman" w:cs="Times New Roman"/>
          <w:sz w:val="24"/>
          <w:szCs w:val="24"/>
        </w:rPr>
        <w:t>se aproveitada</w:t>
      </w:r>
      <w:r w:rsidR="00D72655">
        <w:rPr>
          <w:rFonts w:ascii="Times New Roman" w:hAnsi="Times New Roman" w:cs="Times New Roman"/>
          <w:sz w:val="24"/>
          <w:szCs w:val="24"/>
        </w:rPr>
        <w:t>,</w:t>
      </w:r>
      <w:r w:rsidR="00B07FB7">
        <w:rPr>
          <w:rFonts w:ascii="Times New Roman" w:hAnsi="Times New Roman" w:cs="Times New Roman"/>
          <w:sz w:val="24"/>
          <w:szCs w:val="24"/>
        </w:rPr>
        <w:t xml:space="preserve"> </w:t>
      </w:r>
      <w:r w:rsidR="00564DC3">
        <w:rPr>
          <w:rFonts w:ascii="Times New Roman" w:hAnsi="Times New Roman" w:cs="Times New Roman"/>
          <w:sz w:val="24"/>
          <w:szCs w:val="24"/>
        </w:rPr>
        <w:t>pode contrib</w:t>
      </w:r>
      <w:r w:rsidR="00B07FB7">
        <w:rPr>
          <w:rFonts w:ascii="Times New Roman" w:hAnsi="Times New Roman" w:cs="Times New Roman"/>
          <w:sz w:val="24"/>
          <w:szCs w:val="24"/>
        </w:rPr>
        <w:t xml:space="preserve">uir para a sustentabilidade econômica </w:t>
      </w:r>
      <w:r w:rsidR="002E60B2">
        <w:rPr>
          <w:rFonts w:ascii="Times New Roman" w:hAnsi="Times New Roman" w:cs="Times New Roman"/>
          <w:sz w:val="24"/>
          <w:szCs w:val="24"/>
        </w:rPr>
        <w:t>dessas</w:t>
      </w:r>
      <w:r w:rsidR="00D72655">
        <w:rPr>
          <w:rFonts w:ascii="Times New Roman" w:hAnsi="Times New Roman" w:cs="Times New Roman"/>
          <w:sz w:val="24"/>
          <w:szCs w:val="24"/>
        </w:rPr>
        <w:t xml:space="preserve"> propriedades rurais</w:t>
      </w:r>
      <w:r w:rsidR="00B07FB7">
        <w:rPr>
          <w:rFonts w:ascii="Times New Roman" w:hAnsi="Times New Roman" w:cs="Times New Roman"/>
          <w:sz w:val="24"/>
          <w:szCs w:val="24"/>
        </w:rPr>
        <w:t xml:space="preserve">. Terceiro, </w:t>
      </w:r>
      <w:r w:rsidR="00B03286"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6F7482">
        <w:rPr>
          <w:rFonts w:ascii="Times New Roman" w:hAnsi="Times New Roman" w:cs="Times New Roman"/>
          <w:sz w:val="24"/>
          <w:szCs w:val="24"/>
        </w:rPr>
        <w:t>a perda de competitividade de</w:t>
      </w:r>
      <w:r w:rsidR="00B07FB7">
        <w:rPr>
          <w:rFonts w:ascii="Times New Roman" w:hAnsi="Times New Roman" w:cs="Times New Roman"/>
          <w:sz w:val="24"/>
          <w:szCs w:val="24"/>
        </w:rPr>
        <w:t xml:space="preserve"> setores tradicionais da indústria de transformação gaúcha</w:t>
      </w:r>
      <w:r w:rsidR="00E06FF7">
        <w:rPr>
          <w:rFonts w:ascii="Times New Roman" w:hAnsi="Times New Roman" w:cs="Times New Roman"/>
          <w:sz w:val="24"/>
          <w:szCs w:val="24"/>
        </w:rPr>
        <w:t xml:space="preserve"> </w:t>
      </w:r>
      <w:r w:rsidR="006F7482">
        <w:rPr>
          <w:rFonts w:ascii="Times New Roman" w:hAnsi="Times New Roman" w:cs="Times New Roman"/>
          <w:sz w:val="24"/>
          <w:szCs w:val="24"/>
        </w:rPr>
        <w:t>(CASTILHOS, CALANDRO e CAMPOS, 2010)</w:t>
      </w:r>
      <w:r w:rsidR="00B07FB7">
        <w:rPr>
          <w:rFonts w:ascii="Times New Roman" w:hAnsi="Times New Roman" w:cs="Times New Roman"/>
          <w:sz w:val="24"/>
          <w:szCs w:val="24"/>
        </w:rPr>
        <w:t>, é de extrema importância que seg</w:t>
      </w:r>
      <w:r w:rsidR="00D72655">
        <w:rPr>
          <w:rFonts w:ascii="Times New Roman" w:hAnsi="Times New Roman" w:cs="Times New Roman"/>
          <w:sz w:val="24"/>
          <w:szCs w:val="24"/>
        </w:rPr>
        <w:t xml:space="preserve">mentos industriais alternativos e com potencial de crescimento </w:t>
      </w:r>
      <w:r w:rsidR="00B07FB7">
        <w:rPr>
          <w:rFonts w:ascii="Times New Roman" w:hAnsi="Times New Roman" w:cs="Times New Roman"/>
          <w:sz w:val="24"/>
          <w:szCs w:val="24"/>
        </w:rPr>
        <w:t>se fortaleçam.</w:t>
      </w:r>
      <w:r w:rsidR="00083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A62" w:rsidRDefault="00A47C8E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estudo objetiva descrever a evolução recente da indústria do biodiesel no </w:t>
      </w:r>
      <w:r w:rsidR="00D25A5B">
        <w:rPr>
          <w:rFonts w:ascii="Times New Roman" w:hAnsi="Times New Roman" w:cs="Times New Roman"/>
          <w:sz w:val="24"/>
          <w:szCs w:val="24"/>
        </w:rPr>
        <w:t xml:space="preserve">Brasil e no </w:t>
      </w:r>
      <w:r>
        <w:rPr>
          <w:rFonts w:ascii="Times New Roman" w:hAnsi="Times New Roman" w:cs="Times New Roman"/>
          <w:sz w:val="24"/>
          <w:szCs w:val="24"/>
        </w:rPr>
        <w:t xml:space="preserve">Rio Grande do Sul e </w:t>
      </w:r>
      <w:r w:rsidR="00971147">
        <w:rPr>
          <w:rFonts w:ascii="Times New Roman" w:hAnsi="Times New Roman" w:cs="Times New Roman"/>
          <w:sz w:val="24"/>
          <w:szCs w:val="24"/>
        </w:rPr>
        <w:t>avaliar</w:t>
      </w:r>
      <w:r>
        <w:rPr>
          <w:rFonts w:ascii="Times New Roman" w:hAnsi="Times New Roman" w:cs="Times New Roman"/>
          <w:sz w:val="24"/>
          <w:szCs w:val="24"/>
        </w:rPr>
        <w:t xml:space="preserve"> os principais desafios e oportunidades de crescimento </w:t>
      </w:r>
      <w:r w:rsidR="00387475">
        <w:rPr>
          <w:rFonts w:ascii="Times New Roman" w:hAnsi="Times New Roman" w:cs="Times New Roman"/>
          <w:sz w:val="24"/>
          <w:szCs w:val="24"/>
        </w:rPr>
        <w:t>que se vislumbra</w:t>
      </w:r>
      <w:r w:rsidR="001F07D9">
        <w:rPr>
          <w:rFonts w:ascii="Times New Roman" w:hAnsi="Times New Roman" w:cs="Times New Roman"/>
          <w:sz w:val="24"/>
          <w:szCs w:val="24"/>
        </w:rPr>
        <w:t>m</w:t>
      </w:r>
      <w:r w:rsidR="00971147">
        <w:rPr>
          <w:rFonts w:ascii="Times New Roman" w:hAnsi="Times New Roman" w:cs="Times New Roman"/>
          <w:sz w:val="24"/>
          <w:szCs w:val="24"/>
        </w:rPr>
        <w:t xml:space="preserve"> para o </w:t>
      </w:r>
      <w:r>
        <w:rPr>
          <w:rFonts w:ascii="Times New Roman" w:hAnsi="Times New Roman" w:cs="Times New Roman"/>
          <w:sz w:val="24"/>
          <w:szCs w:val="24"/>
        </w:rPr>
        <w:t xml:space="preserve">setor </w:t>
      </w:r>
      <w:r w:rsidR="000831C6">
        <w:rPr>
          <w:rFonts w:ascii="Times New Roman" w:hAnsi="Times New Roman" w:cs="Times New Roman"/>
          <w:sz w:val="24"/>
          <w:szCs w:val="24"/>
        </w:rPr>
        <w:t>até 2020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9496A">
        <w:rPr>
          <w:rFonts w:ascii="Times New Roman" w:hAnsi="Times New Roman" w:cs="Times New Roman"/>
          <w:sz w:val="24"/>
          <w:szCs w:val="24"/>
        </w:rPr>
        <w:t xml:space="preserve"> </w:t>
      </w:r>
      <w:r w:rsidR="003A3A62">
        <w:rPr>
          <w:rFonts w:ascii="Times New Roman" w:hAnsi="Times New Roman" w:cs="Times New Roman"/>
          <w:sz w:val="24"/>
          <w:szCs w:val="24"/>
        </w:rPr>
        <w:t>Não obstante se reconheça a importância d</w:t>
      </w:r>
      <w:r w:rsidR="00272F51">
        <w:rPr>
          <w:rFonts w:ascii="Times New Roman" w:hAnsi="Times New Roman" w:cs="Times New Roman"/>
          <w:sz w:val="24"/>
          <w:szCs w:val="24"/>
        </w:rPr>
        <w:t>e se avançar no</w:t>
      </w:r>
      <w:r w:rsidR="003A3A62">
        <w:rPr>
          <w:rFonts w:ascii="Times New Roman" w:hAnsi="Times New Roman" w:cs="Times New Roman"/>
          <w:sz w:val="24"/>
          <w:szCs w:val="24"/>
        </w:rPr>
        <w:t xml:space="preserve"> debate </w:t>
      </w:r>
      <w:r w:rsidR="00272F51">
        <w:rPr>
          <w:rFonts w:ascii="Times New Roman" w:hAnsi="Times New Roman" w:cs="Times New Roman"/>
          <w:sz w:val="24"/>
          <w:szCs w:val="24"/>
        </w:rPr>
        <w:t>que permeia o uso de</w:t>
      </w:r>
      <w:r w:rsidR="003A3A62">
        <w:rPr>
          <w:rFonts w:ascii="Times New Roman" w:hAnsi="Times New Roman" w:cs="Times New Roman"/>
          <w:sz w:val="24"/>
          <w:szCs w:val="24"/>
        </w:rPr>
        <w:t xml:space="preserve"> alimentos para a produção de energia, esse trabalho </w:t>
      </w:r>
      <w:r w:rsidR="00272F51">
        <w:rPr>
          <w:rFonts w:ascii="Times New Roman" w:hAnsi="Times New Roman" w:cs="Times New Roman"/>
          <w:sz w:val="24"/>
          <w:szCs w:val="24"/>
        </w:rPr>
        <w:t>está restrito</w:t>
      </w:r>
      <w:r w:rsidR="003A3A62">
        <w:rPr>
          <w:rFonts w:ascii="Times New Roman" w:hAnsi="Times New Roman" w:cs="Times New Roman"/>
          <w:sz w:val="24"/>
          <w:szCs w:val="24"/>
        </w:rPr>
        <w:t xml:space="preserve"> à análise </w:t>
      </w:r>
      <w:r w:rsidR="00272F51">
        <w:rPr>
          <w:rFonts w:ascii="Times New Roman" w:hAnsi="Times New Roman" w:cs="Times New Roman"/>
          <w:sz w:val="24"/>
          <w:szCs w:val="24"/>
        </w:rPr>
        <w:t xml:space="preserve">de aspectos mercadológicos inerentes ao biodiesel brasileiro e gaúcho. </w:t>
      </w:r>
    </w:p>
    <w:p w:rsidR="00425AD9" w:rsidRDefault="00A41520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874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cenário</w:t>
      </w:r>
      <w:r w:rsidR="003874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referência adotado</w:t>
      </w:r>
      <w:r w:rsidR="0038747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na análise </w:t>
      </w:r>
      <w:r w:rsidR="00387475">
        <w:rPr>
          <w:rFonts w:ascii="Times New Roman" w:hAnsi="Times New Roman" w:cs="Times New Roman"/>
          <w:sz w:val="24"/>
          <w:szCs w:val="24"/>
        </w:rPr>
        <w:t xml:space="preserve">têm </w:t>
      </w:r>
      <w:r w:rsidR="004B5CDB">
        <w:rPr>
          <w:rFonts w:ascii="Times New Roman" w:hAnsi="Times New Roman" w:cs="Times New Roman"/>
          <w:sz w:val="24"/>
          <w:szCs w:val="24"/>
        </w:rPr>
        <w:t>por base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475">
        <w:rPr>
          <w:rFonts w:ascii="Times New Roman" w:hAnsi="Times New Roman" w:cs="Times New Roman"/>
          <w:sz w:val="24"/>
          <w:szCs w:val="24"/>
        </w:rPr>
        <w:t xml:space="preserve">o atual marco regulatório do biodiesel e as </w:t>
      </w:r>
      <w:r w:rsidR="000831C6">
        <w:rPr>
          <w:rFonts w:ascii="Times New Roman" w:hAnsi="Times New Roman" w:cs="Times New Roman"/>
          <w:sz w:val="24"/>
          <w:szCs w:val="24"/>
        </w:rPr>
        <w:t xml:space="preserve">propostas de alteração </w:t>
      </w:r>
      <w:r w:rsidR="009E3EE2">
        <w:rPr>
          <w:rFonts w:ascii="Times New Roman" w:hAnsi="Times New Roman" w:cs="Times New Roman"/>
          <w:sz w:val="24"/>
          <w:szCs w:val="24"/>
        </w:rPr>
        <w:t xml:space="preserve">encaminhadas </w:t>
      </w:r>
      <w:r w:rsidR="00387475">
        <w:rPr>
          <w:rFonts w:ascii="Times New Roman" w:hAnsi="Times New Roman" w:cs="Times New Roman"/>
          <w:sz w:val="24"/>
          <w:szCs w:val="24"/>
        </w:rPr>
        <w:t>recent</w:t>
      </w:r>
      <w:r w:rsidR="000831C6">
        <w:rPr>
          <w:rFonts w:ascii="Times New Roman" w:hAnsi="Times New Roman" w:cs="Times New Roman"/>
          <w:sz w:val="24"/>
          <w:szCs w:val="24"/>
        </w:rPr>
        <w:t>emente pelas entidades representativas do setor</w:t>
      </w:r>
      <w:r w:rsidR="00387475">
        <w:rPr>
          <w:rFonts w:ascii="Times New Roman" w:hAnsi="Times New Roman" w:cs="Times New Roman"/>
          <w:sz w:val="24"/>
          <w:szCs w:val="24"/>
        </w:rPr>
        <w:t xml:space="preserve"> à Casa Civil da Presidência da República</w:t>
      </w:r>
      <w:r w:rsidR="00A27DFB">
        <w:rPr>
          <w:rFonts w:ascii="Times New Roman" w:hAnsi="Times New Roman" w:cs="Times New Roman"/>
          <w:sz w:val="24"/>
          <w:szCs w:val="24"/>
        </w:rPr>
        <w:t xml:space="preserve">. </w:t>
      </w:r>
      <w:r w:rsidR="004B5C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restrições de disponibilidade interna </w:t>
      </w:r>
      <w:r w:rsidR="00A27D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matéria</w:t>
      </w:r>
      <w:r w:rsidR="004B5C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prima</w:t>
      </w:r>
      <w:r w:rsidR="004B5CD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para a produção de</w:t>
      </w:r>
      <w:r w:rsidR="004B5CDB">
        <w:rPr>
          <w:rFonts w:ascii="Times New Roman" w:hAnsi="Times New Roman" w:cs="Times New Roman"/>
          <w:sz w:val="24"/>
          <w:szCs w:val="24"/>
        </w:rPr>
        <w:t xml:space="preserve"> biodiesel </w:t>
      </w:r>
      <w:r w:rsidR="004B5CDB">
        <w:rPr>
          <w:rFonts w:ascii="Times New Roman" w:hAnsi="Times New Roman" w:cs="Times New Roman"/>
          <w:sz w:val="24"/>
          <w:szCs w:val="24"/>
        </w:rPr>
        <w:lastRenderedPageBreak/>
        <w:t xml:space="preserve">foram consideradas na determinação do potencial de expansão da indústria </w:t>
      </w:r>
      <w:r w:rsidR="00717F69">
        <w:rPr>
          <w:rFonts w:ascii="Times New Roman" w:hAnsi="Times New Roman" w:cs="Times New Roman"/>
          <w:sz w:val="24"/>
          <w:szCs w:val="24"/>
        </w:rPr>
        <w:t xml:space="preserve">brasileira e </w:t>
      </w:r>
      <w:r w:rsidR="004B5CDB">
        <w:rPr>
          <w:rFonts w:ascii="Times New Roman" w:hAnsi="Times New Roman" w:cs="Times New Roman"/>
          <w:sz w:val="24"/>
          <w:szCs w:val="24"/>
        </w:rPr>
        <w:t xml:space="preserve">gaúcha no período </w:t>
      </w:r>
      <w:r w:rsidR="00717F69">
        <w:rPr>
          <w:rFonts w:ascii="Times New Roman" w:hAnsi="Times New Roman" w:cs="Times New Roman"/>
          <w:sz w:val="24"/>
          <w:szCs w:val="24"/>
        </w:rPr>
        <w:t>de análise</w:t>
      </w:r>
      <w:r w:rsidR="004B5CDB">
        <w:rPr>
          <w:rFonts w:ascii="Times New Roman" w:hAnsi="Times New Roman" w:cs="Times New Roman"/>
          <w:sz w:val="24"/>
          <w:szCs w:val="24"/>
        </w:rPr>
        <w:t>.</w:t>
      </w:r>
      <w:r w:rsidR="00971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A41" w:rsidRDefault="004B5CDB" w:rsidP="001D66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05A0B">
        <w:rPr>
          <w:rFonts w:ascii="Times New Roman" w:hAnsi="Times New Roman" w:cs="Times New Roman"/>
          <w:sz w:val="24"/>
          <w:szCs w:val="24"/>
        </w:rPr>
        <w:t xml:space="preserve"> trabalho foi estruturado em quatro seções contadas a partir dessa introdução.</w:t>
      </w:r>
      <w:r>
        <w:rPr>
          <w:rFonts w:ascii="Times New Roman" w:hAnsi="Times New Roman" w:cs="Times New Roman"/>
          <w:sz w:val="24"/>
          <w:szCs w:val="24"/>
        </w:rPr>
        <w:t xml:space="preserve"> Na primeira seção </w:t>
      </w:r>
      <w:r w:rsidR="00F11A41">
        <w:rPr>
          <w:rFonts w:ascii="Times New Roman" w:hAnsi="Times New Roman" w:cs="Times New Roman"/>
          <w:sz w:val="24"/>
          <w:szCs w:val="24"/>
        </w:rPr>
        <w:t>é realizada</w:t>
      </w:r>
      <w:r w:rsidR="00A65F05">
        <w:rPr>
          <w:rFonts w:ascii="Times New Roman" w:hAnsi="Times New Roman" w:cs="Times New Roman"/>
          <w:sz w:val="24"/>
          <w:szCs w:val="24"/>
        </w:rPr>
        <w:t xml:space="preserve"> uma breve descrição do histórico do PNPB</w:t>
      </w:r>
      <w:r w:rsidR="00F11A41">
        <w:rPr>
          <w:rFonts w:ascii="Times New Roman" w:hAnsi="Times New Roman" w:cs="Times New Roman"/>
          <w:sz w:val="24"/>
          <w:szCs w:val="24"/>
        </w:rPr>
        <w:t xml:space="preserve"> e</w:t>
      </w:r>
      <w:r w:rsidR="00A65F05">
        <w:rPr>
          <w:rFonts w:ascii="Times New Roman" w:hAnsi="Times New Roman" w:cs="Times New Roman"/>
          <w:sz w:val="24"/>
          <w:szCs w:val="24"/>
        </w:rPr>
        <w:t xml:space="preserve"> seu </w:t>
      </w:r>
      <w:r w:rsidR="00F11A41">
        <w:rPr>
          <w:rFonts w:ascii="Times New Roman" w:hAnsi="Times New Roman" w:cs="Times New Roman"/>
          <w:sz w:val="24"/>
          <w:szCs w:val="24"/>
        </w:rPr>
        <w:t>funcionamento atual</w:t>
      </w:r>
      <w:r w:rsidR="00A65F05">
        <w:rPr>
          <w:rFonts w:ascii="Times New Roman" w:hAnsi="Times New Roman" w:cs="Times New Roman"/>
          <w:sz w:val="24"/>
          <w:szCs w:val="24"/>
        </w:rPr>
        <w:t xml:space="preserve">. Na </w:t>
      </w:r>
      <w:r w:rsidR="00E47706">
        <w:rPr>
          <w:rFonts w:ascii="Times New Roman" w:hAnsi="Times New Roman" w:cs="Times New Roman"/>
          <w:sz w:val="24"/>
          <w:szCs w:val="24"/>
        </w:rPr>
        <w:t>segunda seção</w:t>
      </w:r>
      <w:r w:rsidR="00A65F05">
        <w:rPr>
          <w:rFonts w:ascii="Times New Roman" w:hAnsi="Times New Roman" w:cs="Times New Roman"/>
          <w:sz w:val="24"/>
          <w:szCs w:val="24"/>
        </w:rPr>
        <w:t xml:space="preserve">, </w:t>
      </w:r>
      <w:r w:rsidR="00F11A41">
        <w:rPr>
          <w:rFonts w:ascii="Times New Roman" w:hAnsi="Times New Roman" w:cs="Times New Roman"/>
          <w:sz w:val="24"/>
          <w:szCs w:val="24"/>
        </w:rPr>
        <w:t xml:space="preserve">é analisada a evolução do desempenho da indústria brasileira e gaúcha de biodiesel. </w:t>
      </w:r>
      <w:r w:rsidR="00AC24E4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F11A41">
        <w:rPr>
          <w:rFonts w:ascii="Times New Roman" w:hAnsi="Times New Roman" w:cs="Times New Roman"/>
          <w:sz w:val="24"/>
          <w:szCs w:val="24"/>
        </w:rPr>
        <w:t xml:space="preserve">são analisadas as perspectivas de consumo nacional e internacional dos produtos oleaginosos. Na </w:t>
      </w:r>
      <w:r w:rsidR="00E47706">
        <w:rPr>
          <w:rFonts w:ascii="Times New Roman" w:hAnsi="Times New Roman" w:cs="Times New Roman"/>
          <w:sz w:val="24"/>
          <w:szCs w:val="24"/>
        </w:rPr>
        <w:t>quarta seção</w:t>
      </w:r>
      <w:r w:rsidR="00F11A41">
        <w:rPr>
          <w:rFonts w:ascii="Times New Roman" w:hAnsi="Times New Roman" w:cs="Times New Roman"/>
          <w:sz w:val="24"/>
          <w:szCs w:val="24"/>
        </w:rPr>
        <w:t xml:space="preserve"> são avaliados os principais desafios para o crescimento da indústria do biodiesel no </w:t>
      </w:r>
      <w:r w:rsidR="00AC24E4">
        <w:rPr>
          <w:rFonts w:ascii="Times New Roman" w:hAnsi="Times New Roman" w:cs="Times New Roman"/>
          <w:sz w:val="24"/>
          <w:szCs w:val="24"/>
        </w:rPr>
        <w:t xml:space="preserve">Brasil e no </w:t>
      </w:r>
      <w:r w:rsidR="00F11A41">
        <w:rPr>
          <w:rFonts w:ascii="Times New Roman" w:hAnsi="Times New Roman" w:cs="Times New Roman"/>
          <w:sz w:val="24"/>
          <w:szCs w:val="24"/>
        </w:rPr>
        <w:t>Rio Grande do Sul. Por fim, são tecidas as principais conclusões do estudo.</w:t>
      </w:r>
    </w:p>
    <w:p w:rsidR="00305A0B" w:rsidRDefault="00305A0B" w:rsidP="00EB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7B24" w:rsidRDefault="006D4FFC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>1. O Programa Nacional de Produção e Uso de Biodiesel</w:t>
      </w:r>
    </w:p>
    <w:p w:rsidR="00F46006" w:rsidRDefault="00E4255E" w:rsidP="006D5A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PNPB</w:t>
      </w:r>
      <w:r w:rsidR="00F46006">
        <w:rPr>
          <w:rFonts w:ascii="Times New Roman" w:hAnsi="Times New Roman" w:cs="Times New Roman"/>
          <w:sz w:val="24"/>
          <w:szCs w:val="24"/>
        </w:rPr>
        <w:t xml:space="preserve"> foi</w:t>
      </w:r>
      <w:r w:rsidR="006D5A97">
        <w:rPr>
          <w:rFonts w:ascii="Times New Roman" w:hAnsi="Times New Roman" w:cs="Times New Roman"/>
          <w:sz w:val="24"/>
          <w:szCs w:val="24"/>
        </w:rPr>
        <w:t xml:space="preserve"> anunciado </w:t>
      </w:r>
      <w:r w:rsidR="00F8705E">
        <w:rPr>
          <w:rFonts w:ascii="Times New Roman" w:hAnsi="Times New Roman" w:cs="Times New Roman"/>
          <w:sz w:val="24"/>
          <w:szCs w:val="24"/>
        </w:rPr>
        <w:t xml:space="preserve">oficialmente </w:t>
      </w:r>
      <w:r w:rsidR="006D5A97"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 w:rsidR="00F4600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F46006">
        <w:rPr>
          <w:rFonts w:ascii="Times New Roman" w:hAnsi="Times New Roman" w:cs="Times New Roman"/>
          <w:sz w:val="24"/>
          <w:szCs w:val="24"/>
        </w:rPr>
        <w:t xml:space="preserve"> de </w:t>
      </w:r>
      <w:r w:rsidR="006D5A97">
        <w:rPr>
          <w:rFonts w:ascii="Times New Roman" w:hAnsi="Times New Roman" w:cs="Times New Roman"/>
          <w:sz w:val="24"/>
          <w:szCs w:val="24"/>
        </w:rPr>
        <w:t xml:space="preserve">dezembro de 2004, </w:t>
      </w:r>
      <w:r w:rsidR="00F46006">
        <w:rPr>
          <w:rFonts w:ascii="Times New Roman" w:hAnsi="Times New Roman" w:cs="Times New Roman"/>
          <w:sz w:val="24"/>
          <w:szCs w:val="24"/>
        </w:rPr>
        <w:t>juntamente com o lançamento</w:t>
      </w:r>
      <w:r w:rsidR="00F46006" w:rsidRPr="00F46006">
        <w:rPr>
          <w:rFonts w:ascii="Times New Roman" w:hAnsi="Times New Roman" w:cs="Times New Roman"/>
          <w:sz w:val="24"/>
          <w:szCs w:val="24"/>
        </w:rPr>
        <w:t xml:space="preserve"> do </w:t>
      </w:r>
      <w:r w:rsidR="00F46006">
        <w:rPr>
          <w:rFonts w:ascii="Times New Roman" w:hAnsi="Times New Roman" w:cs="Times New Roman"/>
          <w:sz w:val="24"/>
          <w:szCs w:val="24"/>
        </w:rPr>
        <w:t>marco regulatório</w:t>
      </w:r>
      <w:r w:rsidR="00F46006" w:rsidRPr="00F46006">
        <w:rPr>
          <w:rFonts w:ascii="Times New Roman" w:hAnsi="Times New Roman" w:cs="Times New Roman"/>
          <w:sz w:val="24"/>
          <w:szCs w:val="24"/>
        </w:rPr>
        <w:t xml:space="preserve"> que estabelece</w:t>
      </w:r>
      <w:r w:rsidR="008B4219">
        <w:rPr>
          <w:rFonts w:ascii="Times New Roman" w:hAnsi="Times New Roman" w:cs="Times New Roman"/>
          <w:sz w:val="24"/>
          <w:szCs w:val="24"/>
        </w:rPr>
        <w:t>u</w:t>
      </w:r>
      <w:r w:rsidR="00F46006" w:rsidRPr="00F46006">
        <w:rPr>
          <w:rFonts w:ascii="Times New Roman" w:hAnsi="Times New Roman" w:cs="Times New Roman"/>
          <w:sz w:val="24"/>
          <w:szCs w:val="24"/>
        </w:rPr>
        <w:t xml:space="preserve"> as condições legais para a introdução do biodiesel na Matriz Energética Brasileira</w:t>
      </w:r>
      <w:r w:rsidR="00F46006">
        <w:rPr>
          <w:rFonts w:ascii="Times New Roman" w:hAnsi="Times New Roman" w:cs="Times New Roman"/>
          <w:sz w:val="24"/>
          <w:szCs w:val="24"/>
        </w:rPr>
        <w:t xml:space="preserve">. O </w:t>
      </w:r>
      <w:r w:rsidR="008B4219">
        <w:rPr>
          <w:rFonts w:ascii="Times New Roman" w:hAnsi="Times New Roman" w:cs="Times New Roman"/>
          <w:sz w:val="24"/>
          <w:szCs w:val="24"/>
        </w:rPr>
        <w:t>p</w:t>
      </w:r>
      <w:r w:rsidR="00F46006">
        <w:rPr>
          <w:rFonts w:ascii="Times New Roman" w:hAnsi="Times New Roman" w:cs="Times New Roman"/>
          <w:sz w:val="24"/>
          <w:szCs w:val="24"/>
        </w:rPr>
        <w:t xml:space="preserve">rograma </w:t>
      </w:r>
      <w:r w:rsidR="006D5A97">
        <w:rPr>
          <w:rFonts w:ascii="Times New Roman" w:hAnsi="Times New Roman" w:cs="Times New Roman"/>
          <w:sz w:val="24"/>
          <w:szCs w:val="24"/>
        </w:rPr>
        <w:t xml:space="preserve">foi estruturado com base no relatório final do Grupo Técnico Interministerial, instituído </w:t>
      </w:r>
      <w:r w:rsidR="00B417B3">
        <w:rPr>
          <w:rFonts w:ascii="Times New Roman" w:hAnsi="Times New Roman" w:cs="Times New Roman"/>
          <w:color w:val="000000" w:themeColor="text1"/>
          <w:sz w:val="24"/>
          <w:szCs w:val="24"/>
        </w:rPr>
        <w:t>pela Presidência da República</w:t>
      </w:r>
      <w:r w:rsidR="006D5A97">
        <w:rPr>
          <w:rFonts w:ascii="Times New Roman" w:hAnsi="Times New Roman" w:cs="Times New Roman"/>
          <w:sz w:val="24"/>
          <w:szCs w:val="24"/>
        </w:rPr>
        <w:t xml:space="preserve"> </w:t>
      </w:r>
      <w:r w:rsidR="00B41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ano anterior </w:t>
      </w:r>
      <w:r w:rsidR="006D5A97">
        <w:rPr>
          <w:rFonts w:ascii="Times New Roman" w:hAnsi="Times New Roman" w:cs="Times New Roman"/>
          <w:sz w:val="24"/>
          <w:szCs w:val="24"/>
        </w:rPr>
        <w:t xml:space="preserve">com o objetivo de </w:t>
      </w:r>
      <w:r w:rsidR="006D5A97" w:rsidRPr="006D5A97">
        <w:rPr>
          <w:rFonts w:ascii="Times New Roman" w:hAnsi="Times New Roman" w:cs="Times New Roman"/>
          <w:sz w:val="24"/>
          <w:szCs w:val="24"/>
        </w:rPr>
        <w:t>apresentar estudos sobre a viabilidade da utilização do biodiesel como fonte</w:t>
      </w:r>
      <w:r w:rsidR="006D5A97">
        <w:rPr>
          <w:rFonts w:ascii="Times New Roman" w:hAnsi="Times New Roman" w:cs="Times New Roman"/>
          <w:sz w:val="24"/>
          <w:szCs w:val="24"/>
        </w:rPr>
        <w:t xml:space="preserve"> </w:t>
      </w:r>
      <w:r w:rsidR="006D5A97" w:rsidRPr="006D5A97">
        <w:rPr>
          <w:rFonts w:ascii="Times New Roman" w:hAnsi="Times New Roman" w:cs="Times New Roman"/>
          <w:sz w:val="24"/>
          <w:szCs w:val="24"/>
        </w:rPr>
        <w:t>alternativa de energia.</w:t>
      </w:r>
      <w:r w:rsidR="006D5A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08E" w:rsidRDefault="006C208E" w:rsidP="006C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PNPB surgiu com o compromisso de </w:t>
      </w:r>
      <w:r w:rsidRPr="00E4255E">
        <w:rPr>
          <w:rFonts w:ascii="Times New Roman" w:hAnsi="Times New Roman" w:cs="Times New Roman"/>
          <w:sz w:val="24"/>
          <w:szCs w:val="24"/>
        </w:rPr>
        <w:t>viabilizar a produ</w:t>
      </w:r>
      <w:r w:rsidR="00564775">
        <w:rPr>
          <w:rFonts w:ascii="Times New Roman" w:hAnsi="Times New Roman" w:cs="Times New Roman"/>
          <w:sz w:val="24"/>
          <w:szCs w:val="24"/>
        </w:rPr>
        <w:t>ção e o uso do biodiesel no Brasil</w:t>
      </w:r>
      <w:r w:rsidRPr="00E4255E">
        <w:rPr>
          <w:rFonts w:ascii="Times New Roman" w:hAnsi="Times New Roman" w:cs="Times New Roman"/>
          <w:sz w:val="24"/>
          <w:szCs w:val="24"/>
        </w:rPr>
        <w:t>, com foco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55E">
        <w:rPr>
          <w:rFonts w:ascii="Times New Roman" w:hAnsi="Times New Roman" w:cs="Times New Roman"/>
          <w:sz w:val="24"/>
          <w:szCs w:val="24"/>
        </w:rPr>
        <w:t>competitividade, na qualidade do biocombustível produzido, na garantia de segurança de seu suprimento,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55E">
        <w:rPr>
          <w:rFonts w:ascii="Times New Roman" w:hAnsi="Times New Roman" w:cs="Times New Roman"/>
          <w:sz w:val="24"/>
          <w:szCs w:val="24"/>
        </w:rPr>
        <w:t>diversificação das matérias primas, no fortalecimento das potencialidades regionais para produção, 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255E">
        <w:rPr>
          <w:rFonts w:ascii="Times New Roman" w:hAnsi="Times New Roman" w:cs="Times New Roman"/>
          <w:sz w:val="24"/>
          <w:szCs w:val="24"/>
        </w:rPr>
        <w:t>prioritariamente, na inclusão social de agricultores familiares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81000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>, 2011</w:t>
      </w:r>
      <w:r w:rsidR="00372071">
        <w:rPr>
          <w:rFonts w:ascii="Times New Roman" w:hAnsi="Times New Roman" w:cs="Times New Roman"/>
          <w:sz w:val="24"/>
          <w:szCs w:val="24"/>
        </w:rPr>
        <w:t>b</w:t>
      </w:r>
      <w:r w:rsidR="00945E0F">
        <w:rPr>
          <w:rFonts w:ascii="Times New Roman" w:hAnsi="Times New Roman" w:cs="Times New Roman"/>
          <w:sz w:val="24"/>
          <w:szCs w:val="24"/>
        </w:rPr>
        <w:t>, p. 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425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F8E" w:rsidRDefault="00945E0F" w:rsidP="00DD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</w:t>
      </w:r>
      <w:r w:rsidR="00DD04C2">
        <w:rPr>
          <w:rFonts w:ascii="Times New Roman" w:hAnsi="Times New Roman" w:cs="Times New Roman"/>
          <w:sz w:val="24"/>
          <w:szCs w:val="24"/>
        </w:rPr>
        <w:t xml:space="preserve"> publicação da Le</w:t>
      </w:r>
      <w:r w:rsidR="00531F9C">
        <w:rPr>
          <w:rFonts w:ascii="Times New Roman" w:hAnsi="Times New Roman" w:cs="Times New Roman"/>
          <w:sz w:val="24"/>
          <w:szCs w:val="24"/>
        </w:rPr>
        <w:t xml:space="preserve">i nº 11.097, </w:t>
      </w:r>
      <w:r w:rsidR="00316A78">
        <w:rPr>
          <w:rFonts w:ascii="Times New Roman" w:hAnsi="Times New Roman" w:cs="Times New Roman"/>
          <w:sz w:val="24"/>
          <w:szCs w:val="24"/>
        </w:rPr>
        <w:t xml:space="preserve">que em </w:t>
      </w:r>
      <w:r w:rsidR="00DD04C2" w:rsidRPr="0064476C">
        <w:rPr>
          <w:rFonts w:ascii="Times New Roman" w:hAnsi="Times New Roman" w:cs="Times New Roman"/>
          <w:sz w:val="24"/>
          <w:szCs w:val="24"/>
        </w:rPr>
        <w:t>13 de janeiro de 2005</w:t>
      </w:r>
      <w:r w:rsidR="00316A78">
        <w:rPr>
          <w:rFonts w:ascii="Times New Roman" w:hAnsi="Times New Roman" w:cs="Times New Roman"/>
          <w:sz w:val="24"/>
          <w:szCs w:val="24"/>
        </w:rPr>
        <w:t xml:space="preserve"> introduziu o biodiesel na </w:t>
      </w:r>
      <w:r w:rsidR="00316A78" w:rsidRPr="00316A78">
        <w:rPr>
          <w:rFonts w:ascii="Times New Roman" w:hAnsi="Times New Roman" w:cs="Times New Roman"/>
          <w:sz w:val="24"/>
          <w:szCs w:val="24"/>
        </w:rPr>
        <w:t>matriz energética brasileira</w:t>
      </w:r>
      <w:r w:rsidR="00DD04C2" w:rsidRPr="0064476C">
        <w:rPr>
          <w:rFonts w:ascii="Times New Roman" w:hAnsi="Times New Roman" w:cs="Times New Roman"/>
          <w:sz w:val="24"/>
          <w:szCs w:val="24"/>
        </w:rPr>
        <w:t xml:space="preserve">, </w:t>
      </w:r>
      <w:r w:rsidR="005A64E3">
        <w:rPr>
          <w:rFonts w:ascii="Times New Roman" w:hAnsi="Times New Roman" w:cs="Times New Roman"/>
          <w:sz w:val="24"/>
          <w:szCs w:val="24"/>
        </w:rPr>
        <w:t xml:space="preserve">foi definido o cronograma </w:t>
      </w:r>
      <w:r w:rsidR="003A0F8E" w:rsidRPr="003A0F8E">
        <w:rPr>
          <w:rFonts w:ascii="Times New Roman" w:hAnsi="Times New Roman" w:cs="Times New Roman"/>
          <w:sz w:val="24"/>
          <w:szCs w:val="24"/>
        </w:rPr>
        <w:t>de adição</w:t>
      </w:r>
      <w:r w:rsidR="005A64E3">
        <w:rPr>
          <w:rFonts w:ascii="Times New Roman" w:hAnsi="Times New Roman" w:cs="Times New Roman"/>
          <w:sz w:val="24"/>
          <w:szCs w:val="24"/>
        </w:rPr>
        <w:t xml:space="preserve"> progressiva</w:t>
      </w:r>
      <w:r w:rsidR="003A0F8E" w:rsidRPr="003A0F8E">
        <w:rPr>
          <w:rFonts w:ascii="Times New Roman" w:hAnsi="Times New Roman" w:cs="Times New Roman"/>
          <w:sz w:val="24"/>
          <w:szCs w:val="24"/>
        </w:rPr>
        <w:t xml:space="preserve"> de biodiesel ao óleo diesel</w:t>
      </w:r>
      <w:r w:rsidR="005A64E3">
        <w:rPr>
          <w:rFonts w:ascii="Times New Roman" w:hAnsi="Times New Roman" w:cs="Times New Roman"/>
          <w:sz w:val="24"/>
          <w:szCs w:val="24"/>
        </w:rPr>
        <w:t xml:space="preserve"> </w:t>
      </w:r>
      <w:r w:rsidR="005A64E3" w:rsidRPr="003A0F8E">
        <w:rPr>
          <w:rFonts w:ascii="Times New Roman" w:hAnsi="Times New Roman" w:cs="Times New Roman"/>
          <w:sz w:val="24"/>
          <w:szCs w:val="24"/>
        </w:rPr>
        <w:t>com</w:t>
      </w:r>
      <w:r w:rsidR="005A64E3">
        <w:rPr>
          <w:rFonts w:ascii="Times New Roman" w:hAnsi="Times New Roman" w:cs="Times New Roman"/>
          <w:sz w:val="24"/>
          <w:szCs w:val="24"/>
        </w:rPr>
        <w:t>ercializado ao consumidor final em todo o território nacional</w:t>
      </w:r>
      <w:r w:rsidR="003A0F8E" w:rsidRPr="003A0F8E">
        <w:rPr>
          <w:rFonts w:ascii="Times New Roman" w:hAnsi="Times New Roman" w:cs="Times New Roman"/>
          <w:sz w:val="24"/>
          <w:szCs w:val="24"/>
        </w:rPr>
        <w:t>.</w:t>
      </w:r>
      <w:r w:rsidR="003A0F8E">
        <w:rPr>
          <w:rFonts w:ascii="Times New Roman" w:hAnsi="Times New Roman" w:cs="Times New Roman"/>
          <w:sz w:val="24"/>
          <w:szCs w:val="24"/>
        </w:rPr>
        <w:t xml:space="preserve"> O cronograma previa</w:t>
      </w:r>
      <w:r w:rsidR="00316A78">
        <w:rPr>
          <w:rFonts w:ascii="Times New Roman" w:hAnsi="Times New Roman" w:cs="Times New Roman"/>
          <w:sz w:val="24"/>
          <w:szCs w:val="24"/>
        </w:rPr>
        <w:t xml:space="preserve"> </w:t>
      </w:r>
      <w:r w:rsidR="00870326">
        <w:rPr>
          <w:rFonts w:ascii="Times New Roman" w:hAnsi="Times New Roman" w:cs="Times New Roman"/>
          <w:sz w:val="24"/>
          <w:szCs w:val="24"/>
        </w:rPr>
        <w:t xml:space="preserve">inicialmente </w:t>
      </w:r>
      <w:r w:rsidR="003A0F8E">
        <w:rPr>
          <w:rFonts w:ascii="Times New Roman" w:hAnsi="Times New Roman" w:cs="Times New Roman"/>
          <w:sz w:val="24"/>
          <w:szCs w:val="24"/>
        </w:rPr>
        <w:t xml:space="preserve">a autorização </w:t>
      </w:r>
      <w:r w:rsidR="005A64E3">
        <w:rPr>
          <w:rFonts w:ascii="Times New Roman" w:hAnsi="Times New Roman" w:cs="Times New Roman"/>
          <w:sz w:val="24"/>
          <w:szCs w:val="24"/>
        </w:rPr>
        <w:t>da mistura B2, ou seja, 2% de biodiesel no óleo diesel</w:t>
      </w:r>
      <w:r w:rsidR="003A0F8E">
        <w:rPr>
          <w:rFonts w:ascii="Times New Roman" w:hAnsi="Times New Roman" w:cs="Times New Roman"/>
          <w:sz w:val="24"/>
          <w:szCs w:val="24"/>
        </w:rPr>
        <w:t xml:space="preserve"> oriundo do petróleo</w:t>
      </w:r>
      <w:r w:rsidR="005A64E3">
        <w:rPr>
          <w:rFonts w:ascii="Times New Roman" w:hAnsi="Times New Roman" w:cs="Times New Roman"/>
          <w:sz w:val="24"/>
          <w:szCs w:val="24"/>
        </w:rPr>
        <w:t>,</w:t>
      </w:r>
      <w:r w:rsidR="00064157">
        <w:rPr>
          <w:rFonts w:ascii="Times New Roman" w:hAnsi="Times New Roman" w:cs="Times New Roman"/>
          <w:sz w:val="24"/>
          <w:szCs w:val="24"/>
        </w:rPr>
        <w:t xml:space="preserve"> </w:t>
      </w:r>
      <w:r w:rsidR="00316A78">
        <w:rPr>
          <w:rFonts w:ascii="Times New Roman" w:hAnsi="Times New Roman" w:cs="Times New Roman"/>
          <w:sz w:val="24"/>
          <w:szCs w:val="24"/>
        </w:rPr>
        <w:t xml:space="preserve">no período compreendido </w:t>
      </w:r>
      <w:r w:rsidR="00064157">
        <w:rPr>
          <w:rFonts w:ascii="Times New Roman" w:hAnsi="Times New Roman" w:cs="Times New Roman"/>
          <w:sz w:val="24"/>
          <w:szCs w:val="24"/>
        </w:rPr>
        <w:t xml:space="preserve">entre </w:t>
      </w:r>
      <w:r w:rsidR="006C208E">
        <w:rPr>
          <w:rFonts w:ascii="Times New Roman" w:hAnsi="Times New Roman" w:cs="Times New Roman"/>
          <w:sz w:val="24"/>
          <w:szCs w:val="24"/>
        </w:rPr>
        <w:t xml:space="preserve">janeiro de </w:t>
      </w:r>
      <w:r w:rsidR="00064157">
        <w:rPr>
          <w:rFonts w:ascii="Times New Roman" w:hAnsi="Times New Roman" w:cs="Times New Roman"/>
          <w:sz w:val="24"/>
          <w:szCs w:val="24"/>
        </w:rPr>
        <w:t xml:space="preserve">2005 e </w:t>
      </w:r>
      <w:r w:rsidR="006C208E">
        <w:rPr>
          <w:rFonts w:ascii="Times New Roman" w:hAnsi="Times New Roman" w:cs="Times New Roman"/>
          <w:sz w:val="24"/>
          <w:szCs w:val="24"/>
        </w:rPr>
        <w:t xml:space="preserve">dezembro de </w:t>
      </w:r>
      <w:r w:rsidR="00064157">
        <w:rPr>
          <w:rFonts w:ascii="Times New Roman" w:hAnsi="Times New Roman" w:cs="Times New Roman"/>
          <w:sz w:val="24"/>
          <w:szCs w:val="24"/>
        </w:rPr>
        <w:t>2007</w:t>
      </w:r>
      <w:r w:rsidR="00316A78">
        <w:rPr>
          <w:rFonts w:ascii="Times New Roman" w:hAnsi="Times New Roman" w:cs="Times New Roman"/>
          <w:sz w:val="24"/>
          <w:szCs w:val="24"/>
        </w:rPr>
        <w:t xml:space="preserve">. </w:t>
      </w:r>
      <w:r w:rsidR="00372071">
        <w:rPr>
          <w:rFonts w:ascii="Times New Roman" w:hAnsi="Times New Roman" w:cs="Times New Roman"/>
          <w:sz w:val="24"/>
          <w:szCs w:val="24"/>
        </w:rPr>
        <w:t>Antecipando o cronograma original, o</w:t>
      </w:r>
      <w:r w:rsidR="005706C4" w:rsidRPr="005706C4">
        <w:rPr>
          <w:rFonts w:ascii="Times New Roman" w:hAnsi="Times New Roman" w:cs="Times New Roman"/>
          <w:sz w:val="24"/>
          <w:szCs w:val="24"/>
        </w:rPr>
        <w:t xml:space="preserve"> percentual de mistura obrigatória foi</w:t>
      </w:r>
      <w:r w:rsidR="006C208E">
        <w:rPr>
          <w:rFonts w:ascii="Times New Roman" w:hAnsi="Times New Roman" w:cs="Times New Roman"/>
          <w:sz w:val="24"/>
          <w:szCs w:val="24"/>
        </w:rPr>
        <w:t xml:space="preserve"> </w:t>
      </w:r>
      <w:r w:rsidR="005706C4" w:rsidRPr="005706C4">
        <w:rPr>
          <w:rFonts w:ascii="Times New Roman" w:hAnsi="Times New Roman" w:cs="Times New Roman"/>
          <w:sz w:val="24"/>
          <w:szCs w:val="24"/>
        </w:rPr>
        <w:t xml:space="preserve">aumentado para 3% a partir de julho de 2008, para 4% a partir de julho de 2009 e, finalmente, para 5% a partir de janeiro de 2010. </w:t>
      </w:r>
    </w:p>
    <w:p w:rsidR="006C208E" w:rsidRDefault="006C208E" w:rsidP="006C20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F8E">
        <w:rPr>
          <w:rFonts w:ascii="Times New Roman" w:hAnsi="Times New Roman" w:cs="Times New Roman"/>
          <w:sz w:val="24"/>
          <w:szCs w:val="24"/>
        </w:rPr>
        <w:t>Do ponto de vista institucional, o PNPB tem como núcleo deliberativo 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>Comissão Executiva Interministerial, coordenada pela Casa Civil da Presidência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 xml:space="preserve">República, </w:t>
      </w:r>
      <w:r>
        <w:rPr>
          <w:rFonts w:ascii="Times New Roman" w:hAnsi="Times New Roman" w:cs="Times New Roman"/>
          <w:sz w:val="24"/>
          <w:szCs w:val="24"/>
        </w:rPr>
        <w:t>que conta com a</w:t>
      </w:r>
      <w:r w:rsidRPr="003A0F8E">
        <w:rPr>
          <w:rFonts w:ascii="Times New Roman" w:hAnsi="Times New Roman" w:cs="Times New Roman"/>
          <w:sz w:val="24"/>
          <w:szCs w:val="24"/>
        </w:rPr>
        <w:t xml:space="preserve"> presença de representantes de mais 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 xml:space="preserve">ministérios.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3A0F8E">
        <w:rPr>
          <w:rFonts w:ascii="Times New Roman" w:hAnsi="Times New Roman" w:cs="Times New Roman"/>
          <w:sz w:val="24"/>
          <w:szCs w:val="24"/>
        </w:rPr>
        <w:t xml:space="preserve"> Ministério de Minas e E</w:t>
      </w:r>
      <w:r>
        <w:rPr>
          <w:rFonts w:ascii="Times New Roman" w:hAnsi="Times New Roman" w:cs="Times New Roman"/>
          <w:sz w:val="24"/>
          <w:szCs w:val="24"/>
        </w:rPr>
        <w:t>nergia está localizado o grupo g</w:t>
      </w:r>
      <w:r w:rsidRPr="003A0F8E">
        <w:rPr>
          <w:rFonts w:ascii="Times New Roman" w:hAnsi="Times New Roman" w:cs="Times New Roman"/>
          <w:sz w:val="24"/>
          <w:szCs w:val="24"/>
        </w:rPr>
        <w:t>estor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 xml:space="preserve">PNPB, </w:t>
      </w:r>
      <w:r>
        <w:rPr>
          <w:rFonts w:ascii="Times New Roman" w:hAnsi="Times New Roman" w:cs="Times New Roman"/>
          <w:sz w:val="24"/>
          <w:szCs w:val="24"/>
        </w:rPr>
        <w:t xml:space="preserve">do qual também </w:t>
      </w:r>
      <w:r>
        <w:rPr>
          <w:rFonts w:ascii="Times New Roman" w:hAnsi="Times New Roman" w:cs="Times New Roman"/>
          <w:sz w:val="24"/>
          <w:szCs w:val="24"/>
        </w:rPr>
        <w:lastRenderedPageBreak/>
        <w:t>participam</w:t>
      </w:r>
      <w:r w:rsidRPr="003A0F8E">
        <w:rPr>
          <w:rFonts w:ascii="Times New Roman" w:hAnsi="Times New Roman" w:cs="Times New Roman"/>
          <w:sz w:val="24"/>
          <w:szCs w:val="24"/>
        </w:rPr>
        <w:t xml:space="preserve"> representantes da ANP, Embrapa,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 xml:space="preserve">Petrobrás e BNDES, além </w:t>
      </w:r>
      <w:r>
        <w:rPr>
          <w:rFonts w:ascii="Times New Roman" w:hAnsi="Times New Roman" w:cs="Times New Roman"/>
          <w:sz w:val="24"/>
          <w:szCs w:val="24"/>
        </w:rPr>
        <w:t>dos ministérios envolvidos. O</w:t>
      </w:r>
      <w:r w:rsidRPr="003A0F8E">
        <w:rPr>
          <w:rFonts w:ascii="Times New Roman" w:hAnsi="Times New Roman" w:cs="Times New Roman"/>
          <w:sz w:val="24"/>
          <w:szCs w:val="24"/>
        </w:rPr>
        <w:t xml:space="preserve"> grupo gestor tem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F8E">
        <w:rPr>
          <w:rFonts w:ascii="Times New Roman" w:hAnsi="Times New Roman" w:cs="Times New Roman"/>
          <w:sz w:val="24"/>
          <w:szCs w:val="24"/>
        </w:rPr>
        <w:t>responsabilidade de acompanhar todo o processo operacional do programa.</w:t>
      </w:r>
    </w:p>
    <w:p w:rsidR="0064476C" w:rsidRDefault="006C208E" w:rsidP="006447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PNPB, a</w:t>
      </w:r>
      <w:r w:rsidR="00316A78">
        <w:rPr>
          <w:rFonts w:ascii="Times New Roman" w:hAnsi="Times New Roman" w:cs="Times New Roman"/>
          <w:sz w:val="24"/>
          <w:szCs w:val="24"/>
        </w:rPr>
        <w:t xml:space="preserve"> ANP</w:t>
      </w:r>
      <w:r w:rsidR="00316A78" w:rsidRPr="0064476C">
        <w:rPr>
          <w:rFonts w:ascii="Times New Roman" w:hAnsi="Times New Roman" w:cs="Times New Roman"/>
          <w:sz w:val="24"/>
          <w:szCs w:val="24"/>
        </w:rPr>
        <w:t xml:space="preserve"> ampliou </w:t>
      </w:r>
      <w:r w:rsidR="00316A78">
        <w:rPr>
          <w:rFonts w:ascii="Times New Roman" w:hAnsi="Times New Roman" w:cs="Times New Roman"/>
          <w:sz w:val="24"/>
          <w:szCs w:val="24"/>
        </w:rPr>
        <w:t>su</w:t>
      </w:r>
      <w:r w:rsidR="00316A78" w:rsidRPr="0064476C">
        <w:rPr>
          <w:rFonts w:ascii="Times New Roman" w:hAnsi="Times New Roman" w:cs="Times New Roman"/>
          <w:sz w:val="24"/>
          <w:szCs w:val="24"/>
        </w:rPr>
        <w:t>a competência administrativa</w:t>
      </w:r>
      <w:r w:rsidR="00316A78">
        <w:rPr>
          <w:rFonts w:ascii="Times New Roman" w:hAnsi="Times New Roman" w:cs="Times New Roman"/>
          <w:sz w:val="24"/>
          <w:szCs w:val="24"/>
        </w:rPr>
        <w:t>, assumindo papel estratégico para a operacionalização</w:t>
      </w:r>
      <w:r w:rsidR="00421B00">
        <w:rPr>
          <w:rFonts w:ascii="Times New Roman" w:hAnsi="Times New Roman" w:cs="Times New Roman"/>
          <w:sz w:val="24"/>
          <w:szCs w:val="24"/>
        </w:rPr>
        <w:t xml:space="preserve"> do</w:t>
      </w:r>
      <w:r w:rsidR="00316A78">
        <w:rPr>
          <w:rFonts w:ascii="Times New Roman" w:hAnsi="Times New Roman" w:cs="Times New Roman"/>
          <w:sz w:val="24"/>
          <w:szCs w:val="24"/>
        </w:rPr>
        <w:t xml:space="preserve"> </w:t>
      </w:r>
      <w:r w:rsidR="007E1DFD">
        <w:rPr>
          <w:rFonts w:ascii="Times New Roman" w:hAnsi="Times New Roman" w:cs="Times New Roman"/>
          <w:sz w:val="24"/>
          <w:szCs w:val="24"/>
        </w:rPr>
        <w:t>programa</w:t>
      </w:r>
      <w:r w:rsidR="00316A78" w:rsidRPr="0064476C">
        <w:rPr>
          <w:rFonts w:ascii="Times New Roman" w:hAnsi="Times New Roman" w:cs="Times New Roman"/>
          <w:sz w:val="24"/>
          <w:szCs w:val="24"/>
        </w:rPr>
        <w:t>.</w:t>
      </w:r>
      <w:r w:rsidR="005706C4">
        <w:rPr>
          <w:rFonts w:ascii="Times New Roman" w:hAnsi="Times New Roman" w:cs="Times New Roman"/>
          <w:sz w:val="24"/>
          <w:szCs w:val="24"/>
        </w:rPr>
        <w:t xml:space="preserve"> </w:t>
      </w:r>
      <w:r w:rsidR="0064476C" w:rsidRPr="0064476C">
        <w:rPr>
          <w:rFonts w:ascii="Times New Roman" w:hAnsi="Times New Roman" w:cs="Times New Roman"/>
          <w:sz w:val="24"/>
          <w:szCs w:val="24"/>
        </w:rPr>
        <w:t>No desempenho dessa nova função, a ANP editou normas de especificação do biodiesel e da mistura óleo diesel-biodiesel, promoveu a adaptação das normas regulatórias e realizou leilões para estimular a oferta do biocombustível para a mistura.</w:t>
      </w:r>
      <w:r w:rsidR="00A2172F">
        <w:rPr>
          <w:rFonts w:ascii="Times New Roman" w:hAnsi="Times New Roman" w:cs="Times New Roman"/>
          <w:sz w:val="24"/>
          <w:szCs w:val="24"/>
        </w:rPr>
        <w:t xml:space="preserve"> Nos leilões</w:t>
      </w:r>
      <w:r w:rsidR="00564775">
        <w:rPr>
          <w:rFonts w:ascii="Times New Roman" w:hAnsi="Times New Roman" w:cs="Times New Roman"/>
          <w:sz w:val="24"/>
          <w:szCs w:val="24"/>
        </w:rPr>
        <w:t>,</w:t>
      </w:r>
      <w:r w:rsidR="00A2172F">
        <w:rPr>
          <w:rFonts w:ascii="Times New Roman" w:hAnsi="Times New Roman" w:cs="Times New Roman"/>
          <w:sz w:val="24"/>
          <w:szCs w:val="24"/>
        </w:rPr>
        <w:t xml:space="preserve"> as</w:t>
      </w:r>
      <w:r w:rsidR="0064476C" w:rsidRPr="0064476C">
        <w:rPr>
          <w:rFonts w:ascii="Times New Roman" w:hAnsi="Times New Roman" w:cs="Times New Roman"/>
          <w:sz w:val="24"/>
          <w:szCs w:val="24"/>
        </w:rPr>
        <w:t xml:space="preserve"> refinarias compram o biodiesel para misturá-lo ao diesel derivado do petróleo. O objetivo dos leilões </w:t>
      </w:r>
      <w:r w:rsidR="00607D40">
        <w:rPr>
          <w:rFonts w:ascii="Times New Roman" w:hAnsi="Times New Roman" w:cs="Times New Roman"/>
          <w:sz w:val="24"/>
          <w:szCs w:val="24"/>
        </w:rPr>
        <w:t>é</w:t>
      </w:r>
      <w:r w:rsidR="0064476C" w:rsidRPr="0064476C">
        <w:rPr>
          <w:rFonts w:ascii="Times New Roman" w:hAnsi="Times New Roman" w:cs="Times New Roman"/>
          <w:sz w:val="24"/>
          <w:szCs w:val="24"/>
        </w:rPr>
        <w:t xml:space="preserve"> gerar mercado e, desse modo, estimular a produção de biodiesel em quantidade suficiente para que </w:t>
      </w:r>
      <w:r w:rsidR="00607D40">
        <w:rPr>
          <w:rFonts w:ascii="Times New Roman" w:hAnsi="Times New Roman" w:cs="Times New Roman"/>
          <w:sz w:val="24"/>
          <w:szCs w:val="24"/>
        </w:rPr>
        <w:t>refinarias e distribuidores possam</w:t>
      </w:r>
      <w:r w:rsidR="005706C4">
        <w:rPr>
          <w:rFonts w:ascii="Times New Roman" w:hAnsi="Times New Roman" w:cs="Times New Roman"/>
          <w:sz w:val="24"/>
          <w:szCs w:val="24"/>
        </w:rPr>
        <w:t xml:space="preserve"> compor a mistura </w:t>
      </w:r>
      <w:r w:rsidR="0064476C" w:rsidRPr="0064476C">
        <w:rPr>
          <w:rFonts w:ascii="Times New Roman" w:hAnsi="Times New Roman" w:cs="Times New Roman"/>
          <w:sz w:val="24"/>
          <w:szCs w:val="24"/>
        </w:rPr>
        <w:t>determinada por lei.</w:t>
      </w:r>
      <w:r w:rsidR="00570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1BB" w:rsidRDefault="00481000" w:rsidP="00E658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Coube ao Ministério do Desenvolvimento Agrário – MDA</w:t>
      </w:r>
      <w:r w:rsidR="006378F4" w:rsidRPr="006378F4">
        <w:rPr>
          <w:rFonts w:ascii="Times New Roman" w:hAnsi="Times New Roman" w:cs="Times New Roman"/>
          <w:sz w:val="24"/>
          <w:szCs w:val="24"/>
        </w:rPr>
        <w:t xml:space="preserve"> a responsabilidade de projetar e operacionalizar a</w:t>
      </w:r>
      <w:r w:rsidR="006378F4">
        <w:rPr>
          <w:rFonts w:ascii="Times New Roman" w:hAnsi="Times New Roman" w:cs="Times New Roman"/>
          <w:sz w:val="24"/>
          <w:szCs w:val="24"/>
        </w:rPr>
        <w:t xml:space="preserve"> </w:t>
      </w:r>
      <w:r w:rsidR="006378F4" w:rsidRPr="006378F4">
        <w:rPr>
          <w:rFonts w:ascii="Times New Roman" w:hAnsi="Times New Roman" w:cs="Times New Roman"/>
          <w:sz w:val="24"/>
          <w:szCs w:val="24"/>
        </w:rPr>
        <w:t xml:space="preserve">estratégia social do PNPB, criando </w:t>
      </w:r>
      <w:r w:rsidR="00870326">
        <w:rPr>
          <w:rFonts w:ascii="Times New Roman" w:hAnsi="Times New Roman" w:cs="Times New Roman"/>
          <w:sz w:val="24"/>
          <w:szCs w:val="24"/>
        </w:rPr>
        <w:t>os meios para</w:t>
      </w:r>
      <w:r w:rsidR="006378F4" w:rsidRPr="006378F4">
        <w:rPr>
          <w:rFonts w:ascii="Times New Roman" w:hAnsi="Times New Roman" w:cs="Times New Roman"/>
          <w:sz w:val="24"/>
          <w:szCs w:val="24"/>
        </w:rPr>
        <w:t xml:space="preserve"> a inserção qualificada de agricultores familiares na</w:t>
      </w:r>
      <w:r w:rsidR="006378F4">
        <w:rPr>
          <w:rFonts w:ascii="Times New Roman" w:hAnsi="Times New Roman" w:cs="Times New Roman"/>
          <w:sz w:val="24"/>
          <w:szCs w:val="24"/>
        </w:rPr>
        <w:t xml:space="preserve"> </w:t>
      </w:r>
      <w:r w:rsidR="006378F4" w:rsidRPr="006378F4">
        <w:rPr>
          <w:rFonts w:ascii="Times New Roman" w:hAnsi="Times New Roman" w:cs="Times New Roman"/>
          <w:sz w:val="24"/>
          <w:szCs w:val="24"/>
        </w:rPr>
        <w:t>cadeia de produção do biodiesel.</w:t>
      </w:r>
      <w:r w:rsidR="006378F4">
        <w:rPr>
          <w:rFonts w:ascii="Times New Roman" w:hAnsi="Times New Roman" w:cs="Times New Roman"/>
          <w:sz w:val="24"/>
          <w:szCs w:val="24"/>
        </w:rPr>
        <w:t xml:space="preserve"> </w:t>
      </w:r>
      <w:r w:rsidR="002D61BB">
        <w:rPr>
          <w:rFonts w:ascii="Times New Roman" w:hAnsi="Times New Roman" w:cs="Times New Roman"/>
          <w:sz w:val="24"/>
          <w:szCs w:val="24"/>
        </w:rPr>
        <w:t xml:space="preserve">Desde o início do programa, </w:t>
      </w:r>
      <w:r w:rsidR="00870326">
        <w:rPr>
          <w:rFonts w:ascii="Times New Roman" w:hAnsi="Times New Roman" w:cs="Times New Roman"/>
          <w:sz w:val="24"/>
          <w:szCs w:val="24"/>
        </w:rPr>
        <w:t>o MDA atua em duas frentes: 1) c</w:t>
      </w:r>
      <w:r w:rsidR="002D61BB">
        <w:rPr>
          <w:rFonts w:ascii="Times New Roman" w:hAnsi="Times New Roman" w:cs="Times New Roman"/>
          <w:sz w:val="24"/>
          <w:szCs w:val="24"/>
        </w:rPr>
        <w:t>oncedendo e gerenciando o Selo de Combustível Social às empresas aptas e; 2)</w:t>
      </w:r>
      <w:r w:rsidR="00870326">
        <w:rPr>
          <w:rFonts w:ascii="Times New Roman" w:hAnsi="Times New Roman" w:cs="Times New Roman"/>
          <w:sz w:val="24"/>
          <w:szCs w:val="24"/>
        </w:rPr>
        <w:t xml:space="preserve"> p</w:t>
      </w:r>
      <w:r w:rsidR="002D61BB">
        <w:rPr>
          <w:rFonts w:ascii="Times New Roman" w:hAnsi="Times New Roman" w:cs="Times New Roman"/>
          <w:sz w:val="24"/>
          <w:szCs w:val="24"/>
        </w:rPr>
        <w:t xml:space="preserve">lanejando e </w:t>
      </w:r>
      <w:proofErr w:type="gramStart"/>
      <w:r w:rsidR="002D61BB">
        <w:rPr>
          <w:rFonts w:ascii="Times New Roman" w:hAnsi="Times New Roman" w:cs="Times New Roman"/>
          <w:sz w:val="24"/>
          <w:szCs w:val="24"/>
        </w:rPr>
        <w:t>implementando</w:t>
      </w:r>
      <w:proofErr w:type="gramEnd"/>
      <w:r w:rsidR="002D61BB">
        <w:rPr>
          <w:rFonts w:ascii="Times New Roman" w:hAnsi="Times New Roman" w:cs="Times New Roman"/>
          <w:sz w:val="24"/>
          <w:szCs w:val="24"/>
        </w:rPr>
        <w:t xml:space="preserve"> a metodologia de organização da base produtiva</w:t>
      </w:r>
      <w:r w:rsidR="00564775">
        <w:rPr>
          <w:rFonts w:ascii="Times New Roman" w:hAnsi="Times New Roman" w:cs="Times New Roman"/>
          <w:sz w:val="24"/>
          <w:szCs w:val="24"/>
        </w:rPr>
        <w:t>.</w:t>
      </w:r>
      <w:r w:rsidR="002D61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3B7" w:rsidRPr="00A133B7" w:rsidRDefault="00D015BB" w:rsidP="002D61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45CAD" w:rsidRPr="00C45CAD">
        <w:rPr>
          <w:rFonts w:ascii="Times New Roman" w:hAnsi="Times New Roman" w:cs="Times New Roman"/>
          <w:sz w:val="24"/>
          <w:szCs w:val="24"/>
        </w:rPr>
        <w:t xml:space="preserve"> Selo Combustível Social é a identificação concedida pelo MDA ao</w:t>
      </w:r>
      <w:r w:rsidR="00C45CAD">
        <w:rPr>
          <w:rFonts w:ascii="Times New Roman" w:hAnsi="Times New Roman" w:cs="Times New Roman"/>
          <w:sz w:val="24"/>
          <w:szCs w:val="24"/>
        </w:rPr>
        <w:t xml:space="preserve"> </w:t>
      </w:r>
      <w:r w:rsidR="00C45CAD" w:rsidRPr="00C45CAD">
        <w:rPr>
          <w:rFonts w:ascii="Times New Roman" w:hAnsi="Times New Roman" w:cs="Times New Roman"/>
          <w:sz w:val="24"/>
          <w:szCs w:val="24"/>
        </w:rPr>
        <w:t>produtor de biodiesel que cumpre os critérios estabelecidos pelo P</w:t>
      </w:r>
      <w:r>
        <w:rPr>
          <w:rFonts w:ascii="Times New Roman" w:hAnsi="Times New Roman" w:cs="Times New Roman"/>
          <w:sz w:val="24"/>
          <w:szCs w:val="24"/>
        </w:rPr>
        <w:t>NPB</w:t>
      </w:r>
      <w:r w:rsidR="00C45CAD" w:rsidRPr="00C45CAD">
        <w:rPr>
          <w:rFonts w:ascii="Times New Roman" w:hAnsi="Times New Roman" w:cs="Times New Roman"/>
          <w:sz w:val="24"/>
          <w:szCs w:val="24"/>
        </w:rPr>
        <w:t xml:space="preserve"> e que confere status de</w:t>
      </w:r>
      <w:r w:rsidR="00C45CAD">
        <w:rPr>
          <w:rFonts w:ascii="Times New Roman" w:hAnsi="Times New Roman" w:cs="Times New Roman"/>
          <w:sz w:val="24"/>
          <w:szCs w:val="24"/>
        </w:rPr>
        <w:t xml:space="preserve"> </w:t>
      </w:r>
      <w:r w:rsidR="00C45CAD" w:rsidRPr="00C45CAD">
        <w:rPr>
          <w:rFonts w:ascii="Times New Roman" w:hAnsi="Times New Roman" w:cs="Times New Roman"/>
          <w:sz w:val="24"/>
          <w:szCs w:val="24"/>
        </w:rPr>
        <w:t>promotor de inclusão social dos agricultores familiares enquadrados no Programa Nacional de Fortalecimento</w:t>
      </w:r>
      <w:r w:rsidR="00C4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Agricultura Familiar – </w:t>
      </w:r>
      <w:r w:rsidR="00C45CAD" w:rsidRPr="00C45CAD">
        <w:rPr>
          <w:rFonts w:ascii="Times New Roman" w:hAnsi="Times New Roman" w:cs="Times New Roman"/>
          <w:sz w:val="24"/>
          <w:szCs w:val="24"/>
        </w:rPr>
        <w:t>PRON</w:t>
      </w:r>
      <w:r>
        <w:rPr>
          <w:rFonts w:ascii="Times New Roman" w:hAnsi="Times New Roman" w:cs="Times New Roman"/>
          <w:sz w:val="24"/>
          <w:szCs w:val="24"/>
        </w:rPr>
        <w:t>AF</w:t>
      </w:r>
      <w:r w:rsidR="00C45CAD" w:rsidRPr="00C45CAD">
        <w:rPr>
          <w:rFonts w:ascii="Times New Roman" w:hAnsi="Times New Roman" w:cs="Times New Roman"/>
          <w:sz w:val="24"/>
          <w:szCs w:val="24"/>
        </w:rPr>
        <w:t>.</w:t>
      </w:r>
      <w:r w:rsidR="00C45CAD">
        <w:rPr>
          <w:rFonts w:ascii="Times New Roman" w:hAnsi="Times New Roman" w:cs="Times New Roman"/>
          <w:sz w:val="24"/>
          <w:szCs w:val="24"/>
        </w:rPr>
        <w:t xml:space="preserve"> </w:t>
      </w:r>
      <w:r w:rsidR="00780E2A">
        <w:rPr>
          <w:rFonts w:ascii="Times New Roman" w:hAnsi="Times New Roman" w:cs="Times New Roman"/>
          <w:sz w:val="24"/>
          <w:szCs w:val="24"/>
        </w:rPr>
        <w:t>Na elaboração da estratégia social do PNPB</w:t>
      </w:r>
      <w:r w:rsidR="00C45CAD">
        <w:rPr>
          <w:rFonts w:ascii="Times New Roman" w:hAnsi="Times New Roman" w:cs="Times New Roman"/>
          <w:sz w:val="24"/>
          <w:szCs w:val="24"/>
        </w:rPr>
        <w:t>,</w:t>
      </w:r>
      <w:r w:rsidR="00780E2A">
        <w:rPr>
          <w:rFonts w:ascii="Times New Roman" w:hAnsi="Times New Roman" w:cs="Times New Roman"/>
          <w:sz w:val="24"/>
          <w:szCs w:val="24"/>
        </w:rPr>
        <w:t xml:space="preserve"> o</w:t>
      </w:r>
      <w:r w:rsidR="002D61BB">
        <w:rPr>
          <w:rFonts w:ascii="Times New Roman" w:hAnsi="Times New Roman" w:cs="Times New Roman"/>
          <w:sz w:val="24"/>
          <w:szCs w:val="24"/>
        </w:rPr>
        <w:t xml:space="preserve"> MDA partiu da premissa </w:t>
      </w:r>
      <w:r w:rsidR="00CB279E">
        <w:rPr>
          <w:rFonts w:ascii="Times New Roman" w:hAnsi="Times New Roman" w:cs="Times New Roman"/>
          <w:sz w:val="24"/>
          <w:szCs w:val="24"/>
        </w:rPr>
        <w:t xml:space="preserve">de </w:t>
      </w:r>
      <w:r w:rsidR="002D61BB">
        <w:rPr>
          <w:rFonts w:ascii="Times New Roman" w:hAnsi="Times New Roman" w:cs="Times New Roman"/>
          <w:sz w:val="24"/>
          <w:szCs w:val="24"/>
        </w:rPr>
        <w:t>que q</w:t>
      </w:r>
      <w:r w:rsidR="00A133B7" w:rsidRPr="00A133B7">
        <w:rPr>
          <w:rFonts w:ascii="Times New Roman" w:hAnsi="Times New Roman" w:cs="Times New Roman"/>
          <w:sz w:val="24"/>
          <w:szCs w:val="24"/>
        </w:rPr>
        <w:t>uando os produtores de biodiesel fomentam a produção de</w:t>
      </w:r>
      <w:r w:rsidR="00A133B7">
        <w:rPr>
          <w:rFonts w:ascii="Times New Roman" w:hAnsi="Times New Roman" w:cs="Times New Roman"/>
          <w:sz w:val="24"/>
          <w:szCs w:val="24"/>
        </w:rPr>
        <w:t xml:space="preserve"> </w:t>
      </w:r>
      <w:r w:rsidR="00A133B7" w:rsidRPr="00A133B7">
        <w:rPr>
          <w:rFonts w:ascii="Times New Roman" w:hAnsi="Times New Roman" w:cs="Times New Roman"/>
          <w:sz w:val="24"/>
          <w:szCs w:val="24"/>
        </w:rPr>
        <w:t xml:space="preserve">matéria prima </w:t>
      </w:r>
      <w:r w:rsidR="00607D40">
        <w:rPr>
          <w:rFonts w:ascii="Times New Roman" w:hAnsi="Times New Roman" w:cs="Times New Roman"/>
          <w:sz w:val="24"/>
          <w:szCs w:val="24"/>
        </w:rPr>
        <w:t>pela</w:t>
      </w:r>
      <w:r w:rsidR="00A133B7">
        <w:rPr>
          <w:rFonts w:ascii="Times New Roman" w:hAnsi="Times New Roman" w:cs="Times New Roman"/>
          <w:sz w:val="24"/>
          <w:szCs w:val="24"/>
        </w:rPr>
        <w:t xml:space="preserve"> </w:t>
      </w:r>
      <w:r w:rsidR="00005017">
        <w:rPr>
          <w:rFonts w:ascii="Times New Roman" w:hAnsi="Times New Roman" w:cs="Times New Roman"/>
          <w:sz w:val="24"/>
          <w:szCs w:val="24"/>
        </w:rPr>
        <w:t>a</w:t>
      </w:r>
      <w:r w:rsidR="00A133B7" w:rsidRPr="00A133B7">
        <w:rPr>
          <w:rFonts w:ascii="Times New Roman" w:hAnsi="Times New Roman" w:cs="Times New Roman"/>
          <w:sz w:val="24"/>
          <w:szCs w:val="24"/>
        </w:rPr>
        <w:t>gricultura familiar, eles estão promovendo a inclusão social e o</w:t>
      </w:r>
      <w:r w:rsidR="00A133B7">
        <w:rPr>
          <w:rFonts w:ascii="Times New Roman" w:hAnsi="Times New Roman" w:cs="Times New Roman"/>
          <w:sz w:val="24"/>
          <w:szCs w:val="24"/>
        </w:rPr>
        <w:t xml:space="preserve"> </w:t>
      </w:r>
      <w:r w:rsidR="00A133B7" w:rsidRPr="00A133B7">
        <w:rPr>
          <w:rFonts w:ascii="Times New Roman" w:hAnsi="Times New Roman" w:cs="Times New Roman"/>
          <w:sz w:val="24"/>
          <w:szCs w:val="24"/>
        </w:rPr>
        <w:t>desenvolvimento regional, pois com isso, geram trabalho e renda</w:t>
      </w:r>
      <w:r w:rsidR="00A133B7">
        <w:rPr>
          <w:rFonts w:ascii="Times New Roman" w:hAnsi="Times New Roman" w:cs="Times New Roman"/>
          <w:sz w:val="24"/>
          <w:szCs w:val="24"/>
        </w:rPr>
        <w:t xml:space="preserve"> </w:t>
      </w:r>
      <w:r w:rsidR="00A133B7" w:rsidRPr="00A133B7">
        <w:rPr>
          <w:rFonts w:ascii="Times New Roman" w:hAnsi="Times New Roman" w:cs="Times New Roman"/>
          <w:sz w:val="24"/>
          <w:szCs w:val="24"/>
        </w:rPr>
        <w:t xml:space="preserve">para estas famílias. </w:t>
      </w:r>
      <w:r>
        <w:rPr>
          <w:rFonts w:ascii="Times New Roman" w:hAnsi="Times New Roman" w:cs="Times New Roman"/>
          <w:sz w:val="24"/>
          <w:szCs w:val="24"/>
        </w:rPr>
        <w:t>As indústrias de biodiesel detentora</w:t>
      </w:r>
      <w:r w:rsidR="00C45CAD">
        <w:rPr>
          <w:rFonts w:ascii="Times New Roman" w:hAnsi="Times New Roman" w:cs="Times New Roman"/>
          <w:sz w:val="24"/>
          <w:szCs w:val="24"/>
        </w:rPr>
        <w:t>s do</w:t>
      </w:r>
      <w:r w:rsidR="00A133B7" w:rsidRPr="00A133B7">
        <w:rPr>
          <w:rFonts w:ascii="Times New Roman" w:hAnsi="Times New Roman" w:cs="Times New Roman"/>
          <w:sz w:val="24"/>
          <w:szCs w:val="24"/>
        </w:rPr>
        <w:t xml:space="preserve"> Selo Combustível Social</w:t>
      </w:r>
      <w:r>
        <w:rPr>
          <w:rFonts w:ascii="Times New Roman" w:hAnsi="Times New Roman" w:cs="Times New Roman"/>
          <w:sz w:val="24"/>
          <w:szCs w:val="24"/>
        </w:rPr>
        <w:t xml:space="preserve"> são beneficiada</w:t>
      </w:r>
      <w:r w:rsidR="00C45CAD">
        <w:rPr>
          <w:rFonts w:ascii="Times New Roman" w:hAnsi="Times New Roman" w:cs="Times New Roman"/>
          <w:sz w:val="24"/>
          <w:szCs w:val="24"/>
        </w:rPr>
        <w:t>s com as</w:t>
      </w:r>
      <w:r w:rsidR="00A11389">
        <w:rPr>
          <w:rFonts w:ascii="Times New Roman" w:hAnsi="Times New Roman" w:cs="Times New Roman"/>
          <w:sz w:val="24"/>
          <w:szCs w:val="24"/>
        </w:rPr>
        <w:t xml:space="preserve"> seguintes</w:t>
      </w:r>
      <w:r w:rsidR="00A133B7" w:rsidRPr="00A133B7">
        <w:rPr>
          <w:rFonts w:ascii="Times New Roman" w:hAnsi="Times New Roman" w:cs="Times New Roman"/>
          <w:sz w:val="24"/>
          <w:szCs w:val="24"/>
        </w:rPr>
        <w:t xml:space="preserve"> condições especiais:</w:t>
      </w:r>
    </w:p>
    <w:p w:rsidR="00A133B7" w:rsidRPr="00A133B7" w:rsidRDefault="00A133B7" w:rsidP="00CA4AC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33B7">
        <w:rPr>
          <w:rFonts w:ascii="Times New Roman" w:hAnsi="Times New Roman" w:cs="Times New Roman"/>
          <w:sz w:val="24"/>
          <w:szCs w:val="24"/>
        </w:rPr>
        <w:t>• Diferenciação/isenção nos tributos PIS/PASEP e COFINS;</w:t>
      </w:r>
    </w:p>
    <w:p w:rsidR="00A133B7" w:rsidRPr="00A133B7" w:rsidRDefault="00A133B7" w:rsidP="00CA4AC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33B7">
        <w:rPr>
          <w:rFonts w:ascii="Times New Roman" w:hAnsi="Times New Roman" w:cs="Times New Roman"/>
          <w:sz w:val="24"/>
          <w:szCs w:val="24"/>
        </w:rPr>
        <w:t>• Participação assegurada de 80% do biodiesel negociado nos</w:t>
      </w:r>
      <w:r>
        <w:rPr>
          <w:rFonts w:ascii="Times New Roman" w:hAnsi="Times New Roman" w:cs="Times New Roman"/>
          <w:sz w:val="24"/>
          <w:szCs w:val="24"/>
        </w:rPr>
        <w:t xml:space="preserve"> leilões públicos da </w:t>
      </w:r>
      <w:r w:rsidR="00CA4ACA">
        <w:rPr>
          <w:rFonts w:ascii="Times New Roman" w:hAnsi="Times New Roman" w:cs="Times New Roman"/>
          <w:sz w:val="24"/>
          <w:szCs w:val="24"/>
        </w:rPr>
        <w:t>ANP</w:t>
      </w:r>
      <w:r w:rsidR="00E73A36">
        <w:rPr>
          <w:rFonts w:ascii="Times New Roman" w:hAnsi="Times New Roman" w:cs="Times New Roman"/>
          <w:sz w:val="24"/>
          <w:szCs w:val="24"/>
        </w:rPr>
        <w:t xml:space="preserve"> e</w:t>
      </w:r>
      <w:r w:rsidRPr="00A133B7">
        <w:rPr>
          <w:rFonts w:ascii="Times New Roman" w:hAnsi="Times New Roman" w:cs="Times New Roman"/>
          <w:sz w:val="24"/>
          <w:szCs w:val="24"/>
        </w:rPr>
        <w:t>;</w:t>
      </w:r>
    </w:p>
    <w:p w:rsidR="00A133B7" w:rsidRPr="00413B0C" w:rsidRDefault="00D015BB" w:rsidP="00CA4ACA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Acesso a m</w:t>
      </w:r>
      <w:r w:rsidR="00413B0C" w:rsidRPr="00413B0C">
        <w:rPr>
          <w:rFonts w:ascii="Times New Roman" w:hAnsi="Times New Roman" w:cs="Times New Roman"/>
          <w:sz w:val="24"/>
          <w:szCs w:val="24"/>
        </w:rPr>
        <w:t>elh</w:t>
      </w:r>
      <w:r>
        <w:rPr>
          <w:rFonts w:ascii="Times New Roman" w:hAnsi="Times New Roman" w:cs="Times New Roman"/>
          <w:sz w:val="24"/>
          <w:szCs w:val="24"/>
        </w:rPr>
        <w:t>ores condições de financiamento</w:t>
      </w:r>
      <w:r w:rsidR="00413B0C" w:rsidRPr="00413B0C">
        <w:rPr>
          <w:rFonts w:ascii="Times New Roman" w:hAnsi="Times New Roman" w:cs="Times New Roman"/>
          <w:sz w:val="24"/>
          <w:szCs w:val="24"/>
        </w:rPr>
        <w:t xml:space="preserve"> junto aos agentes financeiros.</w:t>
      </w:r>
    </w:p>
    <w:p w:rsidR="00706E7F" w:rsidRDefault="00B51DCD" w:rsidP="00E73A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DCD">
        <w:rPr>
          <w:rFonts w:ascii="Times New Roman" w:hAnsi="Times New Roman" w:cs="Times New Roman"/>
          <w:sz w:val="24"/>
          <w:szCs w:val="24"/>
        </w:rPr>
        <w:t>Para tanto, os produtores de biodiesel pr</w:t>
      </w:r>
      <w:r w:rsidR="00706E7F">
        <w:rPr>
          <w:rFonts w:ascii="Times New Roman" w:hAnsi="Times New Roman" w:cs="Times New Roman"/>
          <w:sz w:val="24"/>
          <w:szCs w:val="24"/>
        </w:rPr>
        <w:t>ecisam obedecer algumas regras, quais sejam:</w:t>
      </w:r>
    </w:p>
    <w:p w:rsidR="00706E7F" w:rsidRPr="00706E7F" w:rsidRDefault="00706E7F" w:rsidP="00E658DD">
      <w:pPr>
        <w:pStyle w:val="PargrafodaLista"/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06E7F">
        <w:rPr>
          <w:rFonts w:ascii="Times New Roman" w:hAnsi="Times New Roman" w:cs="Times New Roman"/>
          <w:sz w:val="24"/>
          <w:szCs w:val="24"/>
        </w:rPr>
        <w:lastRenderedPageBreak/>
        <w:t>Adquirir um percentual mínimo de matéria prima da agricultura familiar, que varia de região para região (</w:t>
      </w: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30% nas regiões Nordeste, Sudeste e Sul; e 15%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nas</w:t>
      </w: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regiões Norte e Centro-Oeste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);</w:t>
      </w: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:rsidR="00706E7F" w:rsidRPr="00706E7F" w:rsidRDefault="00706E7F" w:rsidP="00E658DD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Firmar contratos negociados com os agricultores familiares, constando, pelo menos prazo contratual, valor de compra e critérios de reajuste do preço contratado,  condições de entrega da matéria-prima, salvaguardas de cada parte, identificação e concordância de uma representação dos agricultores que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</w:t>
      </w: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rticipou das ne</w:t>
      </w:r>
      <w:r w:rsidR="00D015B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gociações;</w:t>
      </w:r>
    </w:p>
    <w:p w:rsidR="00706E7F" w:rsidRPr="00706E7F" w:rsidRDefault="00706E7F" w:rsidP="00E658DD">
      <w:pPr>
        <w:numPr>
          <w:ilvl w:val="0"/>
          <w:numId w:val="5"/>
        </w:numPr>
        <w:tabs>
          <w:tab w:val="clear" w:pos="720"/>
          <w:tab w:val="num" w:pos="851"/>
        </w:tabs>
        <w:spacing w:after="0" w:line="360" w:lineRule="auto"/>
        <w:ind w:left="714" w:hanging="5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Assegurar</w:t>
      </w:r>
      <w:r w:rsidRPr="00706E7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assistência e capacitação técnica aos agricultores familiares. </w:t>
      </w:r>
    </w:p>
    <w:p w:rsidR="00AC24E4" w:rsidRDefault="00AC24E4" w:rsidP="00AC2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5BB" w:rsidRDefault="00D015BB" w:rsidP="00D015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 que a produção da matéria prima responde por aproximadamente 72% de todo o valor gerado na</w:t>
      </w:r>
      <w:r w:rsidRPr="001F4046">
        <w:rPr>
          <w:rFonts w:ascii="Times New Roman" w:hAnsi="Times New Roman" w:cs="Times New Roman"/>
          <w:sz w:val="24"/>
          <w:szCs w:val="24"/>
        </w:rPr>
        <w:t xml:space="preserve"> cadeia </w:t>
      </w:r>
      <w:r>
        <w:rPr>
          <w:rFonts w:ascii="Times New Roman" w:hAnsi="Times New Roman" w:cs="Times New Roman"/>
          <w:sz w:val="24"/>
          <w:szCs w:val="24"/>
        </w:rPr>
        <w:t>do biodiesel (F</w:t>
      </w:r>
      <w:r w:rsidR="009902AD">
        <w:rPr>
          <w:rFonts w:ascii="Times New Roman" w:hAnsi="Times New Roman" w:cs="Times New Roman"/>
          <w:sz w:val="24"/>
          <w:szCs w:val="24"/>
        </w:rPr>
        <w:t>UNDAÇÃO GETÚLIO VARGAS</w:t>
      </w:r>
      <w:r w:rsidR="00985EAF">
        <w:rPr>
          <w:rFonts w:ascii="Times New Roman" w:hAnsi="Times New Roman" w:cs="Times New Roman"/>
          <w:sz w:val="24"/>
          <w:szCs w:val="24"/>
        </w:rPr>
        <w:t xml:space="preserve"> – FGV</w:t>
      </w:r>
      <w:r>
        <w:rPr>
          <w:rFonts w:ascii="Times New Roman" w:hAnsi="Times New Roman" w:cs="Times New Roman"/>
          <w:sz w:val="24"/>
          <w:szCs w:val="24"/>
        </w:rPr>
        <w:t>, 2010</w:t>
      </w:r>
      <w:r w:rsidR="00985EAF">
        <w:rPr>
          <w:rFonts w:ascii="Times New Roman" w:hAnsi="Times New Roman" w:cs="Times New Roman"/>
          <w:sz w:val="24"/>
          <w:szCs w:val="24"/>
        </w:rPr>
        <w:t>, p</w:t>
      </w:r>
      <w:r w:rsidR="009902AD">
        <w:rPr>
          <w:rFonts w:ascii="Times New Roman" w:hAnsi="Times New Roman" w:cs="Times New Roman"/>
          <w:sz w:val="24"/>
          <w:szCs w:val="24"/>
        </w:rPr>
        <w:t>. 7</w:t>
      </w:r>
      <w:r>
        <w:rPr>
          <w:rFonts w:ascii="Times New Roman" w:hAnsi="Times New Roman" w:cs="Times New Roman"/>
          <w:sz w:val="24"/>
          <w:szCs w:val="24"/>
        </w:rPr>
        <w:t xml:space="preserve">), o atendimento das exigências previstas na concessão do Selo Combustível Social tende a repercutir favoravelmente para o fortalecimento da agricultura familiar. </w:t>
      </w:r>
      <w:r w:rsidR="00481000">
        <w:rPr>
          <w:rFonts w:ascii="Times New Roman" w:hAnsi="Times New Roman" w:cs="Times New Roman"/>
          <w:sz w:val="24"/>
          <w:szCs w:val="24"/>
        </w:rPr>
        <w:t>Segundo dados publicados em</w:t>
      </w:r>
      <w:r w:rsidR="006E62B0">
        <w:rPr>
          <w:rFonts w:ascii="Times New Roman" w:hAnsi="Times New Roman" w:cs="Times New Roman"/>
          <w:sz w:val="24"/>
          <w:szCs w:val="24"/>
        </w:rPr>
        <w:t xml:space="preserve"> </w:t>
      </w:r>
      <w:r w:rsidR="00481000">
        <w:rPr>
          <w:rFonts w:ascii="Times New Roman" w:hAnsi="Times New Roman" w:cs="Times New Roman"/>
          <w:sz w:val="24"/>
          <w:szCs w:val="24"/>
        </w:rPr>
        <w:t>BRASIL</w:t>
      </w:r>
      <w:r w:rsidR="006E62B0">
        <w:rPr>
          <w:rFonts w:ascii="Times New Roman" w:hAnsi="Times New Roman" w:cs="Times New Roman"/>
          <w:sz w:val="24"/>
          <w:szCs w:val="24"/>
        </w:rPr>
        <w:t xml:space="preserve"> (2011</w:t>
      </w:r>
      <w:r w:rsidR="00E73A36">
        <w:rPr>
          <w:rFonts w:ascii="Times New Roman" w:hAnsi="Times New Roman" w:cs="Times New Roman"/>
          <w:sz w:val="24"/>
          <w:szCs w:val="24"/>
        </w:rPr>
        <w:t>b</w:t>
      </w:r>
      <w:r w:rsidR="00985EAF">
        <w:rPr>
          <w:rFonts w:ascii="Times New Roman" w:hAnsi="Times New Roman" w:cs="Times New Roman"/>
          <w:sz w:val="24"/>
          <w:szCs w:val="24"/>
        </w:rPr>
        <w:t>, p. 24</w:t>
      </w:r>
      <w:r w:rsidR="006E62B0">
        <w:rPr>
          <w:rFonts w:ascii="Times New Roman" w:hAnsi="Times New Roman" w:cs="Times New Roman"/>
          <w:sz w:val="24"/>
          <w:szCs w:val="24"/>
        </w:rPr>
        <w:t>), no ano de 2010</w:t>
      </w:r>
      <w:r w:rsidR="00823B82">
        <w:rPr>
          <w:rFonts w:ascii="Times New Roman" w:hAnsi="Times New Roman" w:cs="Times New Roman"/>
          <w:sz w:val="24"/>
          <w:szCs w:val="24"/>
        </w:rPr>
        <w:t>, mais de cem mil estabelecimentos da agricultura familiar participaram do PNPB. O valor da</w:t>
      </w:r>
      <w:r w:rsidR="003B66F5">
        <w:rPr>
          <w:rFonts w:ascii="Times New Roman" w:hAnsi="Times New Roman" w:cs="Times New Roman"/>
          <w:sz w:val="24"/>
          <w:szCs w:val="24"/>
        </w:rPr>
        <w:t>s aquisições de</w:t>
      </w:r>
      <w:r w:rsidR="00823B82">
        <w:rPr>
          <w:rFonts w:ascii="Times New Roman" w:hAnsi="Times New Roman" w:cs="Times New Roman"/>
          <w:sz w:val="24"/>
          <w:szCs w:val="24"/>
        </w:rPr>
        <w:t xml:space="preserve"> matéria prima proveniente da agricultura familiar </w:t>
      </w:r>
      <w:r w:rsidR="00CD5E57">
        <w:rPr>
          <w:rFonts w:ascii="Times New Roman" w:hAnsi="Times New Roman" w:cs="Times New Roman"/>
          <w:sz w:val="24"/>
          <w:szCs w:val="24"/>
        </w:rPr>
        <w:t>atingiu</w:t>
      </w:r>
      <w:r w:rsidR="00823B82">
        <w:rPr>
          <w:rFonts w:ascii="Times New Roman" w:hAnsi="Times New Roman" w:cs="Times New Roman"/>
          <w:sz w:val="24"/>
          <w:szCs w:val="24"/>
        </w:rPr>
        <w:t xml:space="preserve"> a marca de</w:t>
      </w:r>
      <w:r w:rsidR="006E62B0" w:rsidRPr="006E62B0">
        <w:rPr>
          <w:rFonts w:ascii="Times New Roman" w:hAnsi="Times New Roman" w:cs="Times New Roman"/>
          <w:sz w:val="24"/>
          <w:szCs w:val="24"/>
        </w:rPr>
        <w:t xml:space="preserve"> R$ </w:t>
      </w:r>
      <w:proofErr w:type="gramStart"/>
      <w:r w:rsidR="006E62B0" w:rsidRPr="006E62B0">
        <w:rPr>
          <w:rFonts w:ascii="Times New Roman" w:hAnsi="Times New Roman" w:cs="Times New Roman"/>
          <w:sz w:val="24"/>
          <w:szCs w:val="24"/>
        </w:rPr>
        <w:t>1,</w:t>
      </w:r>
      <w:proofErr w:type="gramEnd"/>
      <w:r w:rsidR="006E62B0" w:rsidRPr="006E62B0">
        <w:rPr>
          <w:rFonts w:ascii="Times New Roman" w:hAnsi="Times New Roman" w:cs="Times New Roman"/>
          <w:sz w:val="24"/>
          <w:szCs w:val="24"/>
        </w:rPr>
        <w:t>058 bilhão</w:t>
      </w:r>
      <w:r w:rsidR="006E62B0">
        <w:rPr>
          <w:rFonts w:ascii="Times New Roman" w:hAnsi="Times New Roman" w:cs="Times New Roman"/>
          <w:sz w:val="24"/>
          <w:szCs w:val="24"/>
        </w:rPr>
        <w:t xml:space="preserve">, o que representou </w:t>
      </w:r>
      <w:r w:rsidR="006E62B0" w:rsidRPr="006E62B0">
        <w:rPr>
          <w:rFonts w:ascii="Times New Roman" w:hAnsi="Times New Roman" w:cs="Times New Roman"/>
          <w:sz w:val="24"/>
          <w:szCs w:val="24"/>
        </w:rPr>
        <w:t>aproximadamente 26% de todo</w:t>
      </w:r>
      <w:r w:rsidR="006E62B0">
        <w:rPr>
          <w:rFonts w:ascii="Times New Roman" w:hAnsi="Times New Roman" w:cs="Times New Roman"/>
          <w:sz w:val="24"/>
          <w:szCs w:val="24"/>
        </w:rPr>
        <w:t xml:space="preserve"> o </w:t>
      </w:r>
      <w:r w:rsidR="006E62B0" w:rsidRPr="006E62B0">
        <w:rPr>
          <w:rFonts w:ascii="Times New Roman" w:hAnsi="Times New Roman" w:cs="Times New Roman"/>
          <w:sz w:val="24"/>
          <w:szCs w:val="24"/>
        </w:rPr>
        <w:t>montante de matéria prima adquirido por empresas detentoras do Selo Combustível</w:t>
      </w:r>
      <w:r w:rsidR="006E62B0">
        <w:rPr>
          <w:rFonts w:ascii="Times New Roman" w:hAnsi="Times New Roman" w:cs="Times New Roman"/>
          <w:sz w:val="24"/>
          <w:szCs w:val="24"/>
        </w:rPr>
        <w:t xml:space="preserve"> </w:t>
      </w:r>
      <w:r w:rsidR="006E62B0" w:rsidRPr="006E62B0">
        <w:rPr>
          <w:rFonts w:ascii="Times New Roman" w:hAnsi="Times New Roman" w:cs="Times New Roman"/>
          <w:sz w:val="24"/>
          <w:szCs w:val="24"/>
        </w:rPr>
        <w:t xml:space="preserve">Social </w:t>
      </w:r>
      <w:r w:rsidR="009A456A">
        <w:rPr>
          <w:rFonts w:ascii="Times New Roman" w:hAnsi="Times New Roman" w:cs="Times New Roman"/>
          <w:sz w:val="24"/>
          <w:szCs w:val="24"/>
        </w:rPr>
        <w:t>naquele ano</w:t>
      </w:r>
      <w:r w:rsidR="006E62B0">
        <w:rPr>
          <w:rFonts w:ascii="Times New Roman" w:hAnsi="Times New Roman" w:cs="Times New Roman"/>
          <w:sz w:val="24"/>
          <w:szCs w:val="24"/>
        </w:rPr>
        <w:t>.</w:t>
      </w:r>
      <w:r w:rsidR="006E62B0" w:rsidRPr="006E6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5BE" w:rsidRPr="00DE65BE" w:rsidRDefault="007028B3" w:rsidP="00DE65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5BE">
        <w:rPr>
          <w:rFonts w:ascii="Times New Roman" w:hAnsi="Times New Roman" w:cs="Times New Roman"/>
          <w:sz w:val="24"/>
          <w:szCs w:val="24"/>
        </w:rPr>
        <w:t xml:space="preserve">Contudo, a esperança original do Governo Federal de viabilizar o cultivo </w:t>
      </w:r>
      <w:r w:rsidR="00D015BB">
        <w:rPr>
          <w:rFonts w:ascii="Times New Roman" w:hAnsi="Times New Roman" w:cs="Times New Roman"/>
          <w:sz w:val="24"/>
          <w:szCs w:val="24"/>
        </w:rPr>
        <w:t xml:space="preserve">em larga escala </w:t>
      </w:r>
      <w:r w:rsidR="00DE65BE" w:rsidRPr="00DE65BE">
        <w:rPr>
          <w:rFonts w:ascii="Times New Roman" w:hAnsi="Times New Roman" w:cs="Times New Roman"/>
          <w:sz w:val="24"/>
          <w:szCs w:val="24"/>
        </w:rPr>
        <w:t xml:space="preserve">de oleaginosas alternativas, </w:t>
      </w:r>
      <w:r w:rsidRPr="00DE65BE">
        <w:rPr>
          <w:rFonts w:ascii="Times New Roman" w:hAnsi="Times New Roman" w:cs="Times New Roman"/>
          <w:sz w:val="24"/>
          <w:szCs w:val="24"/>
        </w:rPr>
        <w:t>pela agricultura familiar</w:t>
      </w:r>
      <w:r w:rsidR="00DE65BE" w:rsidRPr="00DE65BE">
        <w:rPr>
          <w:rFonts w:ascii="Times New Roman" w:hAnsi="Times New Roman" w:cs="Times New Roman"/>
          <w:sz w:val="24"/>
          <w:szCs w:val="24"/>
        </w:rPr>
        <w:t>,</w:t>
      </w:r>
      <w:r w:rsidRPr="00DE65BE">
        <w:rPr>
          <w:rFonts w:ascii="Times New Roman" w:hAnsi="Times New Roman" w:cs="Times New Roman"/>
          <w:sz w:val="24"/>
          <w:szCs w:val="24"/>
        </w:rPr>
        <w:t xml:space="preserve"> para a produção de biodiesel</w:t>
      </w:r>
      <w:r w:rsidR="00D015BB">
        <w:rPr>
          <w:rFonts w:ascii="Times New Roman" w:hAnsi="Times New Roman" w:cs="Times New Roman"/>
          <w:sz w:val="24"/>
          <w:szCs w:val="24"/>
        </w:rPr>
        <w:t xml:space="preserve"> nas regiões Norte e Nordeste te</w:t>
      </w:r>
      <w:r w:rsidRPr="00DE65BE">
        <w:rPr>
          <w:rFonts w:ascii="Times New Roman" w:hAnsi="Times New Roman" w:cs="Times New Roman"/>
          <w:sz w:val="24"/>
          <w:szCs w:val="24"/>
        </w:rPr>
        <w:t xml:space="preserve">m sido frustrada. </w:t>
      </w:r>
      <w:r w:rsidR="004B58C5" w:rsidRPr="00DE65BE">
        <w:rPr>
          <w:rFonts w:ascii="Times New Roman" w:hAnsi="Times New Roman" w:cs="Times New Roman"/>
          <w:sz w:val="24"/>
          <w:szCs w:val="24"/>
        </w:rPr>
        <w:t>A participação da soja na matriz de aquisições do Selo Combustível Social, em valores de aquisição de grãos</w:t>
      </w:r>
      <w:r w:rsidR="004B58C5">
        <w:rPr>
          <w:rFonts w:ascii="Times New Roman" w:hAnsi="Times New Roman" w:cs="Times New Roman"/>
          <w:sz w:val="24"/>
          <w:szCs w:val="24"/>
        </w:rPr>
        <w:t xml:space="preserve"> e óleo</w:t>
      </w:r>
      <w:r w:rsidR="004B58C5" w:rsidRPr="00DE65BE">
        <w:rPr>
          <w:rFonts w:ascii="Times New Roman" w:hAnsi="Times New Roman" w:cs="Times New Roman"/>
          <w:sz w:val="24"/>
          <w:szCs w:val="24"/>
        </w:rPr>
        <w:t xml:space="preserve"> </w:t>
      </w:r>
      <w:r w:rsidR="004B58C5">
        <w:rPr>
          <w:rFonts w:ascii="Times New Roman" w:hAnsi="Times New Roman" w:cs="Times New Roman"/>
          <w:sz w:val="24"/>
          <w:szCs w:val="24"/>
        </w:rPr>
        <w:t>foi de</w:t>
      </w:r>
      <w:r w:rsidR="004B58C5" w:rsidRPr="00DE65BE">
        <w:rPr>
          <w:rFonts w:ascii="Times New Roman" w:hAnsi="Times New Roman" w:cs="Times New Roman"/>
          <w:sz w:val="24"/>
          <w:szCs w:val="24"/>
        </w:rPr>
        <w:t xml:space="preserve"> 94% em 2010</w:t>
      </w:r>
      <w:r w:rsidR="004B58C5">
        <w:rPr>
          <w:rFonts w:ascii="Times New Roman" w:hAnsi="Times New Roman" w:cs="Times New Roman"/>
          <w:sz w:val="24"/>
          <w:szCs w:val="24"/>
        </w:rPr>
        <w:t xml:space="preserve">. </w:t>
      </w:r>
      <w:r w:rsidR="00E73A36">
        <w:rPr>
          <w:rFonts w:ascii="Times New Roman" w:hAnsi="Times New Roman" w:cs="Times New Roman"/>
          <w:sz w:val="24"/>
          <w:szCs w:val="24"/>
        </w:rPr>
        <w:t>A</w:t>
      </w:r>
      <w:r w:rsidR="00DE65BE">
        <w:rPr>
          <w:rFonts w:ascii="Times New Roman" w:hAnsi="Times New Roman" w:cs="Times New Roman"/>
          <w:sz w:val="24"/>
          <w:szCs w:val="24"/>
        </w:rPr>
        <w:t>s regiões Sul e Centro-Oeste, tradicionais produtoras de soja, responderam em conjunto por 91% do valor total das aquisições de oleaginosas da agricultura familiar para a produ</w:t>
      </w:r>
      <w:r w:rsidR="004B58C5">
        <w:rPr>
          <w:rFonts w:ascii="Times New Roman" w:hAnsi="Times New Roman" w:cs="Times New Roman"/>
          <w:sz w:val="24"/>
          <w:szCs w:val="24"/>
        </w:rPr>
        <w:t>ção de biodiesel</w:t>
      </w:r>
      <w:r w:rsidR="00DE65BE">
        <w:rPr>
          <w:rFonts w:ascii="Times New Roman" w:hAnsi="Times New Roman" w:cs="Times New Roman"/>
          <w:sz w:val="24"/>
          <w:szCs w:val="24"/>
        </w:rPr>
        <w:t xml:space="preserve"> </w:t>
      </w:r>
      <w:r w:rsidR="00E73A36">
        <w:rPr>
          <w:rFonts w:ascii="Times New Roman" w:hAnsi="Times New Roman" w:cs="Times New Roman"/>
          <w:sz w:val="24"/>
          <w:szCs w:val="24"/>
        </w:rPr>
        <w:t>(BRASIL, 2011b, p. 14).</w:t>
      </w:r>
    </w:p>
    <w:p w:rsidR="00AE716D" w:rsidRDefault="007378EE" w:rsidP="007378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Atualmente está em discussão a reformulação do PNPB. Associações representativas da indústria e a Frente Parlamentar do Biodiesel têm defendido o estabelecimento de um novo cronograma de aumento gradual da mistura </w:t>
      </w:r>
      <w:r w:rsidR="00D729A4">
        <w:rPr>
          <w:rFonts w:ascii="Times New Roman" w:hAnsi="Times New Roman" w:cs="Times New Roman"/>
          <w:sz w:val="24"/>
          <w:szCs w:val="24"/>
        </w:rPr>
        <w:t>exigida em lei</w:t>
      </w:r>
      <w:r>
        <w:rPr>
          <w:rFonts w:ascii="Times New Roman" w:hAnsi="Times New Roman" w:cs="Times New Roman"/>
          <w:sz w:val="24"/>
          <w:szCs w:val="24"/>
        </w:rPr>
        <w:t xml:space="preserve">. O pleito da indústria é que a mistura obrigatória </w:t>
      </w:r>
      <w:r w:rsidR="009D1D36">
        <w:rPr>
          <w:rFonts w:ascii="Times New Roman" w:hAnsi="Times New Roman" w:cs="Times New Roman"/>
          <w:sz w:val="24"/>
          <w:szCs w:val="24"/>
        </w:rPr>
        <w:t xml:space="preserve">de biodiesel no óleo diesel </w:t>
      </w:r>
      <w:r>
        <w:rPr>
          <w:rFonts w:ascii="Times New Roman" w:hAnsi="Times New Roman" w:cs="Times New Roman"/>
          <w:sz w:val="24"/>
          <w:szCs w:val="24"/>
        </w:rPr>
        <w:t>seja</w:t>
      </w:r>
      <w:r w:rsidR="009D1D36">
        <w:rPr>
          <w:rFonts w:ascii="Times New Roman" w:hAnsi="Times New Roman" w:cs="Times New Roman"/>
          <w:sz w:val="24"/>
          <w:szCs w:val="24"/>
        </w:rPr>
        <w:t xml:space="preserve"> gradualmente elevada com vistas a atingir os</w:t>
      </w:r>
      <w:r>
        <w:rPr>
          <w:rFonts w:ascii="Times New Roman" w:hAnsi="Times New Roman" w:cs="Times New Roman"/>
          <w:sz w:val="24"/>
          <w:szCs w:val="24"/>
        </w:rPr>
        <w:t xml:space="preserve"> 20% </w:t>
      </w:r>
      <w:r w:rsidR="009D1D36">
        <w:rPr>
          <w:rFonts w:ascii="Times New Roman" w:hAnsi="Times New Roman" w:cs="Times New Roman"/>
          <w:sz w:val="24"/>
          <w:szCs w:val="24"/>
        </w:rPr>
        <w:t>(B20) em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49B5" w:rsidRPr="00AF7A90" w:rsidRDefault="004749B5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lastRenderedPageBreak/>
        <w:t>2. Evolução da produção brasileira e gaúcha de biodiesel</w:t>
      </w:r>
    </w:p>
    <w:p w:rsidR="004B58C5" w:rsidRDefault="00737333" w:rsidP="004423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produção brasileira de biodiesel cresceu significativamente desde o lançamento do PNPB, sobretudo</w:t>
      </w:r>
      <w:r w:rsidR="00BF4A5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partir do início da vigência </w:t>
      </w:r>
      <w:r w:rsidR="00C86ABE">
        <w:rPr>
          <w:rFonts w:ascii="Times New Roman" w:hAnsi="Times New Roman" w:cs="Times New Roman"/>
          <w:sz w:val="24"/>
          <w:szCs w:val="24"/>
        </w:rPr>
        <w:t>do regime mandatório de mistura</w:t>
      </w:r>
      <w:r w:rsidR="00007764">
        <w:rPr>
          <w:rFonts w:ascii="Times New Roman" w:hAnsi="Times New Roman" w:cs="Times New Roman"/>
          <w:sz w:val="24"/>
          <w:szCs w:val="24"/>
        </w:rPr>
        <w:t>, passando de</w:t>
      </w:r>
      <w:r>
        <w:rPr>
          <w:rFonts w:ascii="Times New Roman" w:hAnsi="Times New Roman" w:cs="Times New Roman"/>
          <w:sz w:val="24"/>
          <w:szCs w:val="24"/>
        </w:rPr>
        <w:t xml:space="preserve"> 736 m</w:t>
      </w:r>
      <w:r w:rsidRPr="00AE248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em 2005, para </w:t>
      </w:r>
      <w:proofErr w:type="gramStart"/>
      <w:r>
        <w:rPr>
          <w:rFonts w:ascii="Times New Roman" w:hAnsi="Times New Roman" w:cs="Times New Roman"/>
          <w:sz w:val="24"/>
          <w:szCs w:val="24"/>
        </w:rPr>
        <w:t>2,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C67630">
        <w:rPr>
          <w:rFonts w:ascii="Times New Roman" w:hAnsi="Times New Roman" w:cs="Times New Roman"/>
          <w:sz w:val="24"/>
          <w:szCs w:val="24"/>
        </w:rPr>
        <w:t>85 milhões</w:t>
      </w:r>
      <w:r w:rsidR="00BF4A5C">
        <w:rPr>
          <w:rFonts w:ascii="Times New Roman" w:hAnsi="Times New Roman" w:cs="Times New Roman"/>
          <w:sz w:val="24"/>
          <w:szCs w:val="24"/>
        </w:rPr>
        <w:t xml:space="preserve"> de m</w:t>
      </w:r>
      <w:r w:rsidR="00BF4A5C" w:rsidRPr="00BF4A5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67630">
        <w:rPr>
          <w:rFonts w:ascii="Times New Roman" w:hAnsi="Times New Roman" w:cs="Times New Roman"/>
          <w:sz w:val="24"/>
          <w:szCs w:val="24"/>
        </w:rPr>
        <w:t>, em 2010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67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3ED" w:rsidRDefault="00C67630" w:rsidP="004B58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F083F">
        <w:rPr>
          <w:rFonts w:ascii="Times New Roman" w:hAnsi="Times New Roman" w:cs="Times New Roman"/>
          <w:sz w:val="24"/>
          <w:szCs w:val="24"/>
        </w:rPr>
        <w:t>indústria</w:t>
      </w:r>
      <w:r>
        <w:rPr>
          <w:rFonts w:ascii="Times New Roman" w:hAnsi="Times New Roman" w:cs="Times New Roman"/>
          <w:sz w:val="24"/>
          <w:szCs w:val="24"/>
        </w:rPr>
        <w:t xml:space="preserve"> gaúcha</w:t>
      </w:r>
      <w:r w:rsidR="006F083F">
        <w:rPr>
          <w:rFonts w:ascii="Times New Roman" w:hAnsi="Times New Roman" w:cs="Times New Roman"/>
          <w:sz w:val="24"/>
          <w:szCs w:val="24"/>
        </w:rPr>
        <w:t xml:space="preserve"> </w:t>
      </w:r>
      <w:r w:rsidR="00E92283">
        <w:rPr>
          <w:rFonts w:ascii="Times New Roman" w:hAnsi="Times New Roman" w:cs="Times New Roman"/>
          <w:sz w:val="24"/>
          <w:szCs w:val="24"/>
        </w:rPr>
        <w:t>iniciou suas a</w:t>
      </w:r>
      <w:r w:rsidR="006F083F">
        <w:rPr>
          <w:rFonts w:ascii="Times New Roman" w:hAnsi="Times New Roman" w:cs="Times New Roman"/>
          <w:sz w:val="24"/>
          <w:szCs w:val="24"/>
        </w:rPr>
        <w:t>tividade</w:t>
      </w:r>
      <w:r w:rsidR="00E9228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="00C113E6">
        <w:rPr>
          <w:rFonts w:ascii="Times New Roman" w:hAnsi="Times New Roman" w:cs="Times New Roman"/>
          <w:sz w:val="24"/>
          <w:szCs w:val="24"/>
        </w:rPr>
        <w:t>julho de 2007</w:t>
      </w:r>
      <w:r w:rsidR="00AE248D">
        <w:rPr>
          <w:rFonts w:ascii="Times New Roman" w:hAnsi="Times New Roman" w:cs="Times New Roman"/>
          <w:sz w:val="24"/>
          <w:szCs w:val="24"/>
        </w:rPr>
        <w:t xml:space="preserve">, com a inauguração da planta industrial da empresa </w:t>
      </w:r>
      <w:proofErr w:type="spellStart"/>
      <w:r w:rsidR="00AE248D">
        <w:rPr>
          <w:rFonts w:ascii="Times New Roman" w:hAnsi="Times New Roman" w:cs="Times New Roman"/>
          <w:sz w:val="24"/>
          <w:szCs w:val="24"/>
        </w:rPr>
        <w:t>Oleoplan</w:t>
      </w:r>
      <w:proofErr w:type="spellEnd"/>
      <w:r w:rsidR="00CB279E">
        <w:rPr>
          <w:rFonts w:ascii="Times New Roman" w:hAnsi="Times New Roman" w:cs="Times New Roman"/>
          <w:sz w:val="24"/>
          <w:szCs w:val="24"/>
        </w:rPr>
        <w:t>, localizada no município de</w:t>
      </w:r>
      <w:r w:rsidR="00AE2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8D">
        <w:rPr>
          <w:rFonts w:ascii="Times New Roman" w:hAnsi="Times New Roman" w:cs="Times New Roman"/>
          <w:sz w:val="24"/>
          <w:szCs w:val="24"/>
        </w:rPr>
        <w:t>Veranópolis</w:t>
      </w:r>
      <w:proofErr w:type="spellEnd"/>
      <w:r w:rsidR="00AE248D">
        <w:rPr>
          <w:rFonts w:ascii="Times New Roman" w:hAnsi="Times New Roman" w:cs="Times New Roman"/>
          <w:sz w:val="24"/>
          <w:szCs w:val="24"/>
        </w:rPr>
        <w:t>. Rapi</w:t>
      </w:r>
      <w:r w:rsidR="00661543">
        <w:rPr>
          <w:rFonts w:ascii="Times New Roman" w:hAnsi="Times New Roman" w:cs="Times New Roman"/>
          <w:sz w:val="24"/>
          <w:szCs w:val="24"/>
        </w:rPr>
        <w:t>damente o parque industrial do E</w:t>
      </w:r>
      <w:r w:rsidR="00AE248D">
        <w:rPr>
          <w:rFonts w:ascii="Times New Roman" w:hAnsi="Times New Roman" w:cs="Times New Roman"/>
          <w:sz w:val="24"/>
          <w:szCs w:val="24"/>
        </w:rPr>
        <w:t xml:space="preserve">stado cresceu com o ingresso no </w:t>
      </w:r>
      <w:r w:rsidR="00AE248D" w:rsidRPr="00AE248D">
        <w:rPr>
          <w:rFonts w:ascii="Times New Roman" w:hAnsi="Times New Roman" w:cs="Times New Roman"/>
          <w:sz w:val="24"/>
          <w:szCs w:val="24"/>
        </w:rPr>
        <w:t xml:space="preserve">negócio das empresas Brasil </w:t>
      </w:r>
      <w:proofErr w:type="spellStart"/>
      <w:r w:rsidR="00AE248D" w:rsidRPr="00AE248D">
        <w:rPr>
          <w:rFonts w:ascii="Times New Roman" w:hAnsi="Times New Roman" w:cs="Times New Roman"/>
          <w:sz w:val="24"/>
          <w:szCs w:val="24"/>
        </w:rPr>
        <w:t>Ecodiesel</w:t>
      </w:r>
      <w:proofErr w:type="spellEnd"/>
      <w:r w:rsidR="00AE248D" w:rsidRPr="00AE248D">
        <w:rPr>
          <w:rFonts w:ascii="Times New Roman" w:hAnsi="Times New Roman" w:cs="Times New Roman"/>
          <w:sz w:val="24"/>
          <w:szCs w:val="24"/>
        </w:rPr>
        <w:t xml:space="preserve"> (Rosário do Sul), BSBIOS (Passo Fundo) e</w:t>
      </w:r>
      <w:r w:rsidR="00AE2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48D">
        <w:rPr>
          <w:rFonts w:ascii="Times New Roman" w:hAnsi="Times New Roman" w:cs="Times New Roman"/>
          <w:sz w:val="24"/>
          <w:szCs w:val="24"/>
        </w:rPr>
        <w:t>Gr</w:t>
      </w:r>
      <w:r w:rsidR="00E92283">
        <w:rPr>
          <w:rFonts w:ascii="Times New Roman" w:hAnsi="Times New Roman" w:cs="Times New Roman"/>
          <w:sz w:val="24"/>
          <w:szCs w:val="24"/>
        </w:rPr>
        <w:t>anol</w:t>
      </w:r>
      <w:proofErr w:type="spellEnd"/>
      <w:r w:rsidR="00E92283">
        <w:rPr>
          <w:rFonts w:ascii="Times New Roman" w:hAnsi="Times New Roman" w:cs="Times New Roman"/>
          <w:sz w:val="24"/>
          <w:szCs w:val="24"/>
        </w:rPr>
        <w:t xml:space="preserve"> (Rosário do Sul). E</w:t>
      </w:r>
      <w:r w:rsidR="00AE248D">
        <w:rPr>
          <w:rFonts w:ascii="Times New Roman" w:hAnsi="Times New Roman" w:cs="Times New Roman"/>
          <w:sz w:val="24"/>
          <w:szCs w:val="24"/>
        </w:rPr>
        <w:t>m 2008</w:t>
      </w:r>
      <w:r w:rsidR="00E92283">
        <w:rPr>
          <w:rFonts w:ascii="Times New Roman" w:hAnsi="Times New Roman" w:cs="Times New Roman"/>
          <w:sz w:val="24"/>
          <w:szCs w:val="24"/>
        </w:rPr>
        <w:t>,</w:t>
      </w:r>
      <w:r w:rsidR="00AE248D">
        <w:rPr>
          <w:rFonts w:ascii="Times New Roman" w:hAnsi="Times New Roman" w:cs="Times New Roman"/>
          <w:sz w:val="24"/>
          <w:szCs w:val="24"/>
        </w:rPr>
        <w:t xml:space="preserve"> </w:t>
      </w:r>
      <w:r w:rsidR="00E92283">
        <w:rPr>
          <w:rFonts w:ascii="Times New Roman" w:hAnsi="Times New Roman" w:cs="Times New Roman"/>
          <w:sz w:val="24"/>
          <w:szCs w:val="24"/>
        </w:rPr>
        <w:t xml:space="preserve">contando com quatro plantas industriais em atividade, </w:t>
      </w:r>
      <w:r w:rsidR="00C113E6">
        <w:rPr>
          <w:rFonts w:ascii="Times New Roman" w:hAnsi="Times New Roman" w:cs="Times New Roman"/>
          <w:sz w:val="24"/>
          <w:szCs w:val="24"/>
        </w:rPr>
        <w:t>o Rio Grande do Sul se tornou o principal es</w:t>
      </w:r>
      <w:r w:rsidR="00AE248D">
        <w:rPr>
          <w:rFonts w:ascii="Times New Roman" w:hAnsi="Times New Roman" w:cs="Times New Roman"/>
          <w:sz w:val="24"/>
          <w:szCs w:val="24"/>
        </w:rPr>
        <w:t>tado produtor do biocombustível, com a produção de 306 mil m</w:t>
      </w:r>
      <w:r w:rsidR="00AE248D" w:rsidRPr="00AE248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E248D">
        <w:rPr>
          <w:rFonts w:ascii="Times New Roman" w:hAnsi="Times New Roman" w:cs="Times New Roman"/>
          <w:sz w:val="24"/>
          <w:szCs w:val="24"/>
        </w:rPr>
        <w:t xml:space="preserve"> </w:t>
      </w:r>
      <w:r w:rsidR="006F083F">
        <w:rPr>
          <w:rFonts w:ascii="Times New Roman" w:hAnsi="Times New Roman" w:cs="Times New Roman"/>
          <w:sz w:val="24"/>
          <w:szCs w:val="24"/>
        </w:rPr>
        <w:t xml:space="preserve">naquele ano </w:t>
      </w:r>
      <w:r w:rsidR="00AE248D">
        <w:rPr>
          <w:rFonts w:ascii="Times New Roman" w:hAnsi="Times New Roman" w:cs="Times New Roman"/>
          <w:sz w:val="24"/>
          <w:szCs w:val="24"/>
        </w:rPr>
        <w:t>(</w:t>
      </w:r>
      <w:r w:rsidR="004759EC">
        <w:rPr>
          <w:rFonts w:ascii="Times New Roman" w:hAnsi="Times New Roman" w:cs="Times New Roman"/>
          <w:sz w:val="24"/>
          <w:szCs w:val="24"/>
        </w:rPr>
        <w:t>F</w:t>
      </w:r>
      <w:r w:rsidR="000B147E">
        <w:rPr>
          <w:rFonts w:ascii="Times New Roman" w:hAnsi="Times New Roman" w:cs="Times New Roman"/>
          <w:sz w:val="24"/>
          <w:szCs w:val="24"/>
        </w:rPr>
        <w:t>igura</w:t>
      </w:r>
      <w:r w:rsidR="00AE248D">
        <w:rPr>
          <w:rFonts w:ascii="Times New Roman" w:hAnsi="Times New Roman" w:cs="Times New Roman"/>
          <w:sz w:val="24"/>
          <w:szCs w:val="24"/>
        </w:rPr>
        <w:t xml:space="preserve"> 1)</w:t>
      </w:r>
      <w:r w:rsidR="00C113E6">
        <w:rPr>
          <w:rFonts w:ascii="Times New Roman" w:hAnsi="Times New Roman" w:cs="Times New Roman"/>
          <w:sz w:val="24"/>
          <w:szCs w:val="24"/>
        </w:rPr>
        <w:t xml:space="preserve">. </w:t>
      </w:r>
      <w:r w:rsidR="004423ED">
        <w:rPr>
          <w:rFonts w:ascii="Times New Roman" w:hAnsi="Times New Roman" w:cs="Times New Roman"/>
          <w:sz w:val="24"/>
          <w:szCs w:val="24"/>
        </w:rPr>
        <w:t>Em 2010</w:t>
      </w:r>
      <w:r w:rsidR="00246FCC">
        <w:rPr>
          <w:rFonts w:ascii="Times New Roman" w:hAnsi="Times New Roman" w:cs="Times New Roman"/>
          <w:sz w:val="24"/>
          <w:szCs w:val="24"/>
        </w:rPr>
        <w:t>,</w:t>
      </w:r>
      <w:r w:rsidR="004423ED">
        <w:rPr>
          <w:rFonts w:ascii="Times New Roman" w:hAnsi="Times New Roman" w:cs="Times New Roman"/>
          <w:sz w:val="24"/>
          <w:szCs w:val="24"/>
        </w:rPr>
        <w:t xml:space="preserve"> a capacidade de produção gaúcha foi </w:t>
      </w:r>
      <w:r w:rsidR="00E92283">
        <w:rPr>
          <w:rFonts w:ascii="Times New Roman" w:hAnsi="Times New Roman" w:cs="Times New Roman"/>
          <w:sz w:val="24"/>
          <w:szCs w:val="24"/>
        </w:rPr>
        <w:t>aumentada</w:t>
      </w:r>
      <w:r w:rsidR="004423ED">
        <w:rPr>
          <w:rFonts w:ascii="Times New Roman" w:hAnsi="Times New Roman" w:cs="Times New Roman"/>
          <w:sz w:val="24"/>
          <w:szCs w:val="24"/>
        </w:rPr>
        <w:t xml:space="preserve"> com o início das operações das empresas </w:t>
      </w:r>
      <w:proofErr w:type="spellStart"/>
      <w:r w:rsidR="004423ED">
        <w:rPr>
          <w:rFonts w:ascii="Times New Roman" w:hAnsi="Times New Roman" w:cs="Times New Roman"/>
          <w:sz w:val="24"/>
          <w:szCs w:val="24"/>
        </w:rPr>
        <w:t>Olfar</w:t>
      </w:r>
      <w:proofErr w:type="spellEnd"/>
      <w:r w:rsidR="004423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23ED">
        <w:rPr>
          <w:rFonts w:ascii="Times New Roman" w:hAnsi="Times New Roman" w:cs="Times New Roman"/>
          <w:sz w:val="24"/>
          <w:szCs w:val="24"/>
        </w:rPr>
        <w:t>Erechim</w:t>
      </w:r>
      <w:proofErr w:type="spellEnd"/>
      <w:r w:rsidR="004423ED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4423ED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="004423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423ED">
        <w:rPr>
          <w:rFonts w:ascii="Times New Roman" w:hAnsi="Times New Roman" w:cs="Times New Roman"/>
          <w:sz w:val="24"/>
          <w:szCs w:val="24"/>
        </w:rPr>
        <w:t>Ijuí</w:t>
      </w:r>
      <w:proofErr w:type="spellEnd"/>
      <w:r w:rsidR="004423ED">
        <w:rPr>
          <w:rFonts w:ascii="Times New Roman" w:hAnsi="Times New Roman" w:cs="Times New Roman"/>
          <w:sz w:val="24"/>
          <w:szCs w:val="24"/>
        </w:rPr>
        <w:t>)</w:t>
      </w:r>
      <w:r w:rsidR="00C86ABE">
        <w:rPr>
          <w:rFonts w:ascii="Times New Roman" w:hAnsi="Times New Roman" w:cs="Times New Roman"/>
          <w:sz w:val="24"/>
          <w:szCs w:val="24"/>
        </w:rPr>
        <w:t xml:space="preserve"> e a produção alcançou</w:t>
      </w:r>
      <w:r w:rsidR="00FF58E3">
        <w:rPr>
          <w:rFonts w:ascii="Times New Roman" w:hAnsi="Times New Roman" w:cs="Times New Roman"/>
          <w:sz w:val="24"/>
          <w:szCs w:val="24"/>
        </w:rPr>
        <w:t xml:space="preserve"> </w:t>
      </w:r>
      <w:r w:rsidR="004423ED">
        <w:rPr>
          <w:rFonts w:ascii="Times New Roman" w:hAnsi="Times New Roman" w:cs="Times New Roman"/>
          <w:sz w:val="24"/>
          <w:szCs w:val="24"/>
        </w:rPr>
        <w:t>606 mil m</w:t>
      </w:r>
      <w:r w:rsidR="004423ED" w:rsidRPr="004423E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4423ED">
        <w:rPr>
          <w:rFonts w:ascii="Times New Roman" w:hAnsi="Times New Roman" w:cs="Times New Roman"/>
          <w:sz w:val="24"/>
          <w:szCs w:val="24"/>
        </w:rPr>
        <w:t xml:space="preserve"> de biodiesel.</w:t>
      </w:r>
    </w:p>
    <w:p w:rsidR="000B147E" w:rsidRDefault="000B147E" w:rsidP="000B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1</w:t>
      </w:r>
    </w:p>
    <w:p w:rsidR="000B147E" w:rsidRDefault="000B147E" w:rsidP="000B14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Evolução da produção brasileira e gaúcha de biodiesel (em milhares de m</w:t>
      </w:r>
      <w:r w:rsidRPr="0083213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67630" w:rsidRDefault="000B147E" w:rsidP="00E05CA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147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152650"/>
            <wp:effectExtent l="19050" t="0" r="10160" b="0"/>
            <wp:docPr id="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47C9F" w:rsidRPr="00847C9F" w:rsidRDefault="000B147E" w:rsidP="00847C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</w:t>
      </w:r>
      <w:r w:rsidR="00847C9F" w:rsidRPr="00847C9F">
        <w:rPr>
          <w:rFonts w:ascii="Times New Roman" w:hAnsi="Times New Roman" w:cs="Times New Roman"/>
          <w:sz w:val="24"/>
          <w:szCs w:val="24"/>
        </w:rPr>
        <w:t>: ANP (2011</w:t>
      </w:r>
      <w:r w:rsidR="002255B3">
        <w:rPr>
          <w:rFonts w:ascii="Times New Roman" w:hAnsi="Times New Roman" w:cs="Times New Roman"/>
          <w:sz w:val="24"/>
          <w:szCs w:val="24"/>
        </w:rPr>
        <w:t>b</w:t>
      </w:r>
      <w:r w:rsidR="00847C9F" w:rsidRPr="00847C9F">
        <w:rPr>
          <w:rFonts w:ascii="Times New Roman" w:hAnsi="Times New Roman" w:cs="Times New Roman"/>
          <w:sz w:val="24"/>
          <w:szCs w:val="24"/>
        </w:rPr>
        <w:t>)</w:t>
      </w:r>
    </w:p>
    <w:p w:rsidR="00847C9F" w:rsidRPr="00847C9F" w:rsidRDefault="00847C9F" w:rsidP="00847C9F">
      <w:pPr>
        <w:rPr>
          <w:rFonts w:ascii="Times New Roman" w:hAnsi="Times New Roman" w:cs="Times New Roman"/>
          <w:sz w:val="24"/>
          <w:szCs w:val="24"/>
        </w:rPr>
      </w:pPr>
      <w:r w:rsidRPr="00847C9F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7C9F">
        <w:rPr>
          <w:rFonts w:ascii="Times New Roman" w:hAnsi="Times New Roman" w:cs="Times New Roman"/>
          <w:sz w:val="24"/>
          <w:szCs w:val="24"/>
        </w:rPr>
        <w:t xml:space="preserve">Produção acumulada de janeiro a outubro </w:t>
      </w:r>
    </w:p>
    <w:p w:rsidR="006C7323" w:rsidRDefault="006C7323" w:rsidP="006C7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termos monetários, segundo dados do IBGE </w:t>
      </w:r>
      <w:r w:rsidR="001602FC">
        <w:rPr>
          <w:rFonts w:ascii="Times New Roman" w:hAnsi="Times New Roman" w:cs="Times New Roman"/>
          <w:sz w:val="24"/>
          <w:szCs w:val="24"/>
        </w:rPr>
        <w:t>(2009</w:t>
      </w:r>
      <w:r w:rsidR="00EA5AB2">
        <w:rPr>
          <w:rFonts w:ascii="Times New Roman" w:hAnsi="Times New Roman" w:cs="Times New Roman"/>
          <w:sz w:val="24"/>
          <w:szCs w:val="24"/>
        </w:rPr>
        <w:t>, p. 134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F21B9">
        <w:rPr>
          <w:rFonts w:ascii="Times New Roman" w:hAnsi="Times New Roman" w:cs="Times New Roman"/>
          <w:sz w:val="24"/>
          <w:szCs w:val="24"/>
        </w:rPr>
        <w:t>o valor d</w:t>
      </w:r>
      <w:r>
        <w:rPr>
          <w:rFonts w:ascii="Times New Roman" w:hAnsi="Times New Roman" w:cs="Times New Roman"/>
          <w:sz w:val="24"/>
          <w:szCs w:val="24"/>
        </w:rPr>
        <w:t xml:space="preserve">a produção nacional de biodiesel superou R$ 2,8 bilhões, em 2009. O Rio Grande do Sul respondeu por 33% deste montante, seguido pelos estados de Mato Grosso (19%) e São Paulo (18%). </w:t>
      </w:r>
    </w:p>
    <w:p w:rsidR="003F1F17" w:rsidRDefault="00CB279E" w:rsidP="00367C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açodo com os dados da ANP (2011c), o</w:t>
      </w:r>
      <w:r w:rsidR="005B78C6">
        <w:rPr>
          <w:rFonts w:ascii="Times New Roman" w:hAnsi="Times New Roman" w:cs="Times New Roman"/>
          <w:sz w:val="24"/>
          <w:szCs w:val="24"/>
        </w:rPr>
        <w:t xml:space="preserve"> óleo de soja é a principal fonte de matéria prima para a produção do biodiesel brasileiro</w:t>
      </w:r>
      <w:r w:rsidR="00D476F7">
        <w:rPr>
          <w:rFonts w:ascii="Times New Roman" w:hAnsi="Times New Roman" w:cs="Times New Roman"/>
          <w:sz w:val="24"/>
          <w:szCs w:val="24"/>
        </w:rPr>
        <w:t xml:space="preserve"> (</w:t>
      </w:r>
      <w:r w:rsidR="009C04B7">
        <w:rPr>
          <w:rFonts w:ascii="Times New Roman" w:hAnsi="Times New Roman" w:cs="Times New Roman"/>
          <w:sz w:val="24"/>
          <w:szCs w:val="24"/>
        </w:rPr>
        <w:t>82% em 2010</w:t>
      </w:r>
      <w:r w:rsidR="00D476F7">
        <w:rPr>
          <w:rFonts w:ascii="Times New Roman" w:hAnsi="Times New Roman" w:cs="Times New Roman"/>
          <w:sz w:val="24"/>
          <w:szCs w:val="24"/>
        </w:rPr>
        <w:t>)</w:t>
      </w:r>
      <w:r w:rsidR="005B78C6">
        <w:rPr>
          <w:rFonts w:ascii="Times New Roman" w:hAnsi="Times New Roman" w:cs="Times New Roman"/>
          <w:sz w:val="24"/>
          <w:szCs w:val="24"/>
        </w:rPr>
        <w:t xml:space="preserve">. </w:t>
      </w:r>
      <w:r w:rsidR="00D476F7">
        <w:rPr>
          <w:rFonts w:ascii="Times New Roman" w:hAnsi="Times New Roman" w:cs="Times New Roman"/>
          <w:sz w:val="24"/>
          <w:szCs w:val="24"/>
        </w:rPr>
        <w:t>Apesar do tratamento tributário diferenciado conferido à mamona e à palma</w:t>
      </w:r>
      <w:r w:rsidR="00063253">
        <w:rPr>
          <w:rFonts w:ascii="Times New Roman" w:hAnsi="Times New Roman" w:cs="Times New Roman"/>
          <w:sz w:val="24"/>
          <w:szCs w:val="24"/>
        </w:rPr>
        <w:t>,</w:t>
      </w:r>
      <w:r w:rsidR="00493021">
        <w:rPr>
          <w:rFonts w:ascii="Times New Roman" w:hAnsi="Times New Roman" w:cs="Times New Roman"/>
          <w:sz w:val="24"/>
          <w:szCs w:val="24"/>
        </w:rPr>
        <w:t xml:space="preserve"> essas matérias primas jamais alcançaram a </w:t>
      </w:r>
      <w:r w:rsidR="00C64302">
        <w:rPr>
          <w:rFonts w:ascii="Times New Roman" w:hAnsi="Times New Roman" w:cs="Times New Roman"/>
          <w:sz w:val="24"/>
          <w:szCs w:val="24"/>
        </w:rPr>
        <w:t>importância</w:t>
      </w:r>
      <w:r w:rsidR="00493021">
        <w:rPr>
          <w:rFonts w:ascii="Times New Roman" w:hAnsi="Times New Roman" w:cs="Times New Roman"/>
          <w:sz w:val="24"/>
          <w:szCs w:val="24"/>
        </w:rPr>
        <w:t xml:space="preserve"> econômica visl</w:t>
      </w:r>
      <w:r w:rsidR="006F083F">
        <w:rPr>
          <w:rFonts w:ascii="Times New Roman" w:hAnsi="Times New Roman" w:cs="Times New Roman"/>
          <w:sz w:val="24"/>
          <w:szCs w:val="24"/>
        </w:rPr>
        <w:t>umbrada no momento do lançamento</w:t>
      </w:r>
      <w:r w:rsidR="00493021">
        <w:rPr>
          <w:rFonts w:ascii="Times New Roman" w:hAnsi="Times New Roman" w:cs="Times New Roman"/>
          <w:sz w:val="24"/>
          <w:szCs w:val="24"/>
        </w:rPr>
        <w:t xml:space="preserve"> </w:t>
      </w:r>
      <w:r w:rsidR="00493021">
        <w:rPr>
          <w:rFonts w:ascii="Times New Roman" w:hAnsi="Times New Roman" w:cs="Times New Roman"/>
          <w:sz w:val="24"/>
          <w:szCs w:val="24"/>
        </w:rPr>
        <w:lastRenderedPageBreak/>
        <w:t>do PNPB.</w:t>
      </w:r>
      <w:r w:rsidR="00D476F7">
        <w:rPr>
          <w:rFonts w:ascii="Times New Roman" w:hAnsi="Times New Roman" w:cs="Times New Roman"/>
          <w:sz w:val="24"/>
          <w:szCs w:val="24"/>
        </w:rPr>
        <w:t xml:space="preserve"> </w:t>
      </w:r>
      <w:r w:rsidR="00B20989">
        <w:rPr>
          <w:rFonts w:ascii="Times New Roman" w:hAnsi="Times New Roman" w:cs="Times New Roman"/>
          <w:sz w:val="24"/>
          <w:szCs w:val="24"/>
        </w:rPr>
        <w:t xml:space="preserve">Em verdade, </w:t>
      </w:r>
      <w:r w:rsidR="00297469">
        <w:rPr>
          <w:rFonts w:ascii="Times New Roman" w:hAnsi="Times New Roman" w:cs="Times New Roman"/>
          <w:sz w:val="24"/>
          <w:szCs w:val="24"/>
        </w:rPr>
        <w:t>parte significativa do</w:t>
      </w:r>
      <w:r w:rsidR="00B20989">
        <w:rPr>
          <w:rFonts w:ascii="Times New Roman" w:hAnsi="Times New Roman" w:cs="Times New Roman"/>
          <w:sz w:val="24"/>
          <w:szCs w:val="24"/>
        </w:rPr>
        <w:t xml:space="preserve"> sucesso </w:t>
      </w:r>
      <w:r w:rsidR="00297469">
        <w:rPr>
          <w:rFonts w:ascii="Times New Roman" w:hAnsi="Times New Roman" w:cs="Times New Roman"/>
          <w:sz w:val="24"/>
          <w:szCs w:val="24"/>
        </w:rPr>
        <w:t xml:space="preserve">do </w:t>
      </w:r>
      <w:r w:rsidR="00493021">
        <w:rPr>
          <w:rFonts w:ascii="Times New Roman" w:hAnsi="Times New Roman" w:cs="Times New Roman"/>
          <w:sz w:val="24"/>
          <w:szCs w:val="24"/>
        </w:rPr>
        <w:t>programa</w:t>
      </w:r>
      <w:r w:rsidR="00297469">
        <w:rPr>
          <w:rFonts w:ascii="Times New Roman" w:hAnsi="Times New Roman" w:cs="Times New Roman"/>
          <w:sz w:val="24"/>
          <w:szCs w:val="24"/>
        </w:rPr>
        <w:t xml:space="preserve"> </w:t>
      </w:r>
      <w:r w:rsidR="003F1F17">
        <w:rPr>
          <w:rFonts w:ascii="Times New Roman" w:hAnsi="Times New Roman" w:cs="Times New Roman"/>
          <w:sz w:val="24"/>
          <w:szCs w:val="24"/>
        </w:rPr>
        <w:t xml:space="preserve">em </w:t>
      </w:r>
      <w:r w:rsidR="00063253">
        <w:rPr>
          <w:rFonts w:ascii="Times New Roman" w:hAnsi="Times New Roman" w:cs="Times New Roman"/>
          <w:sz w:val="24"/>
          <w:szCs w:val="24"/>
        </w:rPr>
        <w:t>garantir</w:t>
      </w:r>
      <w:r w:rsidR="003F1F17">
        <w:rPr>
          <w:rFonts w:ascii="Times New Roman" w:hAnsi="Times New Roman" w:cs="Times New Roman"/>
          <w:sz w:val="24"/>
          <w:szCs w:val="24"/>
        </w:rPr>
        <w:t xml:space="preserve"> a</w:t>
      </w:r>
      <w:r w:rsidR="006F083F">
        <w:rPr>
          <w:rFonts w:ascii="Times New Roman" w:hAnsi="Times New Roman" w:cs="Times New Roman"/>
          <w:sz w:val="24"/>
          <w:szCs w:val="24"/>
        </w:rPr>
        <w:t xml:space="preserve"> obrigatoriedade da mistura</w:t>
      </w:r>
      <w:r w:rsidR="002A131C">
        <w:rPr>
          <w:rFonts w:ascii="Times New Roman" w:hAnsi="Times New Roman" w:cs="Times New Roman"/>
          <w:sz w:val="24"/>
          <w:szCs w:val="24"/>
        </w:rPr>
        <w:t xml:space="preserve"> B5 deve-se à</w:t>
      </w:r>
      <w:r w:rsidR="00B20989">
        <w:rPr>
          <w:rFonts w:ascii="Times New Roman" w:hAnsi="Times New Roman" w:cs="Times New Roman"/>
          <w:sz w:val="24"/>
          <w:szCs w:val="24"/>
        </w:rPr>
        <w:t xml:space="preserve"> </w:t>
      </w:r>
      <w:r w:rsidR="003F1F17">
        <w:rPr>
          <w:rFonts w:ascii="Times New Roman" w:hAnsi="Times New Roman" w:cs="Times New Roman"/>
          <w:sz w:val="24"/>
          <w:szCs w:val="24"/>
        </w:rPr>
        <w:t>capacidade da indústria processadora de soja em suprir a demanda adicional de</w:t>
      </w:r>
      <w:r w:rsidR="00297469">
        <w:rPr>
          <w:rFonts w:ascii="Times New Roman" w:hAnsi="Times New Roman" w:cs="Times New Roman"/>
          <w:sz w:val="24"/>
          <w:szCs w:val="24"/>
        </w:rPr>
        <w:t xml:space="preserve"> </w:t>
      </w:r>
      <w:r w:rsidR="009922FA">
        <w:rPr>
          <w:rFonts w:ascii="Times New Roman" w:hAnsi="Times New Roman" w:cs="Times New Roman"/>
          <w:sz w:val="24"/>
          <w:szCs w:val="24"/>
        </w:rPr>
        <w:t>óleo para a produção do biocombustível</w:t>
      </w:r>
      <w:r w:rsidR="00297469">
        <w:rPr>
          <w:rFonts w:ascii="Times New Roman" w:hAnsi="Times New Roman" w:cs="Times New Roman"/>
          <w:sz w:val="24"/>
          <w:szCs w:val="24"/>
        </w:rPr>
        <w:t>.</w:t>
      </w:r>
      <w:r w:rsidR="00B20989">
        <w:rPr>
          <w:rFonts w:ascii="Times New Roman" w:hAnsi="Times New Roman" w:cs="Times New Roman"/>
          <w:sz w:val="24"/>
          <w:szCs w:val="24"/>
        </w:rPr>
        <w:t xml:space="preserve"> </w:t>
      </w:r>
      <w:r w:rsidR="00C64302">
        <w:rPr>
          <w:rFonts w:ascii="Times New Roman" w:hAnsi="Times New Roman" w:cs="Times New Roman"/>
          <w:sz w:val="24"/>
          <w:szCs w:val="24"/>
        </w:rPr>
        <w:t>No Rio Grande do Sul as seis plantas industriais</w:t>
      </w:r>
      <w:r w:rsidR="006F083F">
        <w:rPr>
          <w:rFonts w:ascii="Times New Roman" w:hAnsi="Times New Roman" w:cs="Times New Roman"/>
          <w:sz w:val="24"/>
          <w:szCs w:val="24"/>
        </w:rPr>
        <w:t xml:space="preserve"> em atividade </w:t>
      </w:r>
      <w:r w:rsidR="00063253">
        <w:rPr>
          <w:rFonts w:ascii="Times New Roman" w:hAnsi="Times New Roman" w:cs="Times New Roman"/>
          <w:sz w:val="24"/>
          <w:szCs w:val="24"/>
        </w:rPr>
        <w:t>são abastecidas com</w:t>
      </w:r>
      <w:r w:rsidR="00C64302">
        <w:rPr>
          <w:rFonts w:ascii="Times New Roman" w:hAnsi="Times New Roman" w:cs="Times New Roman"/>
          <w:sz w:val="24"/>
          <w:szCs w:val="24"/>
        </w:rPr>
        <w:t xml:space="preserve"> óleo de soja.</w:t>
      </w:r>
    </w:p>
    <w:p w:rsidR="003775ED" w:rsidRDefault="00D222D6" w:rsidP="002579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as seis maiores unidades produtoras de biodiesel do Brasil em 2010, três estavam localizadas no Rio Grande do Sul. </w:t>
      </w:r>
      <w:r w:rsidR="003775ED">
        <w:rPr>
          <w:rFonts w:ascii="Times New Roman" w:hAnsi="Times New Roman" w:cs="Times New Roman"/>
          <w:sz w:val="24"/>
          <w:szCs w:val="24"/>
        </w:rPr>
        <w:t>De acordo com os dados da ANP (2011</w:t>
      </w:r>
      <w:r w:rsidR="00493387">
        <w:rPr>
          <w:rFonts w:ascii="Times New Roman" w:hAnsi="Times New Roman" w:cs="Times New Roman"/>
          <w:sz w:val="24"/>
          <w:szCs w:val="24"/>
        </w:rPr>
        <w:t>b</w:t>
      </w:r>
      <w:r w:rsidR="003775ED">
        <w:rPr>
          <w:rFonts w:ascii="Times New Roman" w:hAnsi="Times New Roman" w:cs="Times New Roman"/>
          <w:sz w:val="24"/>
          <w:szCs w:val="24"/>
        </w:rPr>
        <w:t>), a</w:t>
      </w:r>
      <w:r w:rsidR="0025795B">
        <w:rPr>
          <w:rFonts w:ascii="Times New Roman" w:hAnsi="Times New Roman" w:cs="Times New Roman"/>
          <w:sz w:val="24"/>
          <w:szCs w:val="24"/>
        </w:rPr>
        <w:t xml:space="preserve"> principal </w:t>
      </w:r>
      <w:r w:rsidR="003775ED">
        <w:rPr>
          <w:rFonts w:ascii="Times New Roman" w:hAnsi="Times New Roman" w:cs="Times New Roman"/>
          <w:sz w:val="24"/>
          <w:szCs w:val="24"/>
        </w:rPr>
        <w:t>unidade industrial</w:t>
      </w:r>
      <w:r w:rsidR="00E2492E">
        <w:rPr>
          <w:rFonts w:ascii="Times New Roman" w:hAnsi="Times New Roman" w:cs="Times New Roman"/>
          <w:sz w:val="24"/>
          <w:szCs w:val="24"/>
        </w:rPr>
        <w:t xml:space="preserve"> produtora de biodiesel d</w:t>
      </w:r>
      <w:r w:rsidR="0025795B">
        <w:rPr>
          <w:rFonts w:ascii="Times New Roman" w:hAnsi="Times New Roman" w:cs="Times New Roman"/>
          <w:sz w:val="24"/>
          <w:szCs w:val="24"/>
        </w:rPr>
        <w:t>o Rio Grande do Sul</w:t>
      </w:r>
      <w:r w:rsidR="003775ED">
        <w:rPr>
          <w:rFonts w:ascii="Times New Roman" w:hAnsi="Times New Roman" w:cs="Times New Roman"/>
          <w:sz w:val="24"/>
          <w:szCs w:val="24"/>
        </w:rPr>
        <w:t xml:space="preserve"> (e segunda maior do Brasil) </w:t>
      </w:r>
      <w:r w:rsidR="00063253">
        <w:rPr>
          <w:rFonts w:ascii="Times New Roman" w:hAnsi="Times New Roman" w:cs="Times New Roman"/>
          <w:sz w:val="24"/>
          <w:szCs w:val="24"/>
        </w:rPr>
        <w:t>pertence</w:t>
      </w:r>
      <w:r w:rsidR="00985691">
        <w:rPr>
          <w:rFonts w:ascii="Times New Roman" w:hAnsi="Times New Roman" w:cs="Times New Roman"/>
          <w:sz w:val="24"/>
          <w:szCs w:val="24"/>
        </w:rPr>
        <w:t xml:space="preserve"> </w:t>
      </w:r>
      <w:r w:rsidR="00063253">
        <w:rPr>
          <w:rFonts w:ascii="Times New Roman" w:hAnsi="Times New Roman" w:cs="Times New Roman"/>
          <w:sz w:val="24"/>
          <w:szCs w:val="24"/>
        </w:rPr>
        <w:t>à</w:t>
      </w:r>
      <w:r w:rsidR="00257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95B">
        <w:rPr>
          <w:rFonts w:ascii="Times New Roman" w:hAnsi="Times New Roman" w:cs="Times New Roman"/>
          <w:sz w:val="24"/>
          <w:szCs w:val="24"/>
        </w:rPr>
        <w:t>Oleoplan</w:t>
      </w:r>
      <w:proofErr w:type="spellEnd"/>
      <w:r w:rsidR="002579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5795B">
        <w:rPr>
          <w:rFonts w:ascii="Times New Roman" w:hAnsi="Times New Roman" w:cs="Times New Roman"/>
          <w:sz w:val="24"/>
          <w:szCs w:val="24"/>
        </w:rPr>
        <w:t>Veranópolis</w:t>
      </w:r>
      <w:proofErr w:type="spellEnd"/>
      <w:r w:rsidR="0025795B">
        <w:rPr>
          <w:rFonts w:ascii="Times New Roman" w:hAnsi="Times New Roman" w:cs="Times New Roman"/>
          <w:sz w:val="24"/>
          <w:szCs w:val="24"/>
        </w:rPr>
        <w:t>)</w:t>
      </w:r>
      <w:r w:rsidR="003775ED">
        <w:rPr>
          <w:rFonts w:ascii="Times New Roman" w:hAnsi="Times New Roman" w:cs="Times New Roman"/>
          <w:sz w:val="24"/>
          <w:szCs w:val="24"/>
        </w:rPr>
        <w:t>. A empresa foi responsável por 8</w:t>
      </w:r>
      <w:r>
        <w:rPr>
          <w:rFonts w:ascii="Times New Roman" w:hAnsi="Times New Roman" w:cs="Times New Roman"/>
          <w:sz w:val="24"/>
          <w:szCs w:val="24"/>
        </w:rPr>
        <w:t>,2% da produção nacional naquele ano</w:t>
      </w:r>
      <w:r w:rsidR="003775ED">
        <w:rPr>
          <w:rFonts w:ascii="Times New Roman" w:hAnsi="Times New Roman" w:cs="Times New Roman"/>
          <w:sz w:val="24"/>
          <w:szCs w:val="24"/>
        </w:rPr>
        <w:t xml:space="preserve">. </w:t>
      </w:r>
      <w:r w:rsidR="00E2492E">
        <w:rPr>
          <w:rFonts w:ascii="Times New Roman" w:hAnsi="Times New Roman" w:cs="Times New Roman"/>
          <w:sz w:val="24"/>
          <w:szCs w:val="24"/>
        </w:rPr>
        <w:t>As</w:t>
      </w:r>
      <w:r w:rsidR="005A79DE">
        <w:rPr>
          <w:rFonts w:ascii="Times New Roman" w:hAnsi="Times New Roman" w:cs="Times New Roman"/>
          <w:sz w:val="24"/>
          <w:szCs w:val="24"/>
        </w:rPr>
        <w:t xml:space="preserve"> unidades da </w:t>
      </w:r>
      <w:proofErr w:type="spellStart"/>
      <w:r w:rsidR="005A79DE">
        <w:rPr>
          <w:rFonts w:ascii="Times New Roman" w:hAnsi="Times New Roman" w:cs="Times New Roman"/>
          <w:sz w:val="24"/>
          <w:szCs w:val="24"/>
        </w:rPr>
        <w:t>Granol</w:t>
      </w:r>
      <w:proofErr w:type="spellEnd"/>
      <w:r w:rsidR="005A79DE">
        <w:rPr>
          <w:rFonts w:ascii="Times New Roman" w:hAnsi="Times New Roman" w:cs="Times New Roman"/>
          <w:sz w:val="24"/>
          <w:szCs w:val="24"/>
        </w:rPr>
        <w:t xml:space="preserve"> </w:t>
      </w:r>
      <w:r w:rsidR="00985691">
        <w:rPr>
          <w:rFonts w:ascii="Times New Roman" w:hAnsi="Times New Roman" w:cs="Times New Roman"/>
          <w:sz w:val="24"/>
          <w:szCs w:val="24"/>
        </w:rPr>
        <w:t>e da BSBIOS responderam,</w:t>
      </w:r>
      <w:r w:rsidR="00B86CC7">
        <w:rPr>
          <w:rFonts w:ascii="Times New Roman" w:hAnsi="Times New Roman" w:cs="Times New Roman"/>
          <w:sz w:val="24"/>
          <w:szCs w:val="24"/>
        </w:rPr>
        <w:t xml:space="preserve"> respectivamente</w:t>
      </w:r>
      <w:r w:rsidR="00985691">
        <w:rPr>
          <w:rFonts w:ascii="Times New Roman" w:hAnsi="Times New Roman" w:cs="Times New Roman"/>
          <w:sz w:val="24"/>
          <w:szCs w:val="24"/>
        </w:rPr>
        <w:t>,</w:t>
      </w:r>
      <w:r w:rsidR="00B86CC7">
        <w:rPr>
          <w:rFonts w:ascii="Times New Roman" w:hAnsi="Times New Roman" w:cs="Times New Roman"/>
          <w:sz w:val="24"/>
          <w:szCs w:val="24"/>
        </w:rPr>
        <w:t xml:space="preserve"> por </w:t>
      </w:r>
      <w:proofErr w:type="gramStart"/>
      <w:r w:rsidR="00B86CC7">
        <w:rPr>
          <w:rFonts w:ascii="Times New Roman" w:hAnsi="Times New Roman" w:cs="Times New Roman"/>
          <w:sz w:val="24"/>
          <w:szCs w:val="24"/>
        </w:rPr>
        <w:t xml:space="preserve">6,6% e 5,4% da produção </w:t>
      </w:r>
      <w:r w:rsidR="00985691">
        <w:rPr>
          <w:rFonts w:ascii="Times New Roman" w:hAnsi="Times New Roman" w:cs="Times New Roman"/>
          <w:sz w:val="24"/>
          <w:szCs w:val="24"/>
        </w:rPr>
        <w:t>total brasileira</w:t>
      </w:r>
      <w:proofErr w:type="gramEnd"/>
      <w:r w:rsidR="00985691">
        <w:rPr>
          <w:rFonts w:ascii="Times New Roman" w:hAnsi="Times New Roman" w:cs="Times New Roman"/>
          <w:sz w:val="24"/>
          <w:szCs w:val="24"/>
        </w:rPr>
        <w:t xml:space="preserve">. Em conjunto, as três maiores empresas gaúchas foram responsáveis por </w:t>
      </w:r>
      <w:r w:rsidR="005A79DE">
        <w:rPr>
          <w:rFonts w:ascii="Times New Roman" w:hAnsi="Times New Roman" w:cs="Times New Roman"/>
          <w:sz w:val="24"/>
          <w:szCs w:val="24"/>
        </w:rPr>
        <w:t xml:space="preserve">79% da produção </w:t>
      </w:r>
      <w:r w:rsidR="00985691">
        <w:rPr>
          <w:rFonts w:ascii="Times New Roman" w:hAnsi="Times New Roman" w:cs="Times New Roman"/>
          <w:sz w:val="24"/>
          <w:szCs w:val="24"/>
        </w:rPr>
        <w:t>do estado</w:t>
      </w:r>
      <w:r w:rsidR="005A79DE">
        <w:rPr>
          <w:rFonts w:ascii="Times New Roman" w:hAnsi="Times New Roman" w:cs="Times New Roman"/>
          <w:sz w:val="24"/>
          <w:szCs w:val="24"/>
        </w:rPr>
        <w:t xml:space="preserve"> </w:t>
      </w:r>
      <w:r w:rsidR="00985691">
        <w:rPr>
          <w:rFonts w:ascii="Times New Roman" w:hAnsi="Times New Roman" w:cs="Times New Roman"/>
          <w:sz w:val="24"/>
          <w:szCs w:val="24"/>
        </w:rPr>
        <w:t xml:space="preserve">em 2010 </w:t>
      </w:r>
      <w:r w:rsidR="00A65D12">
        <w:rPr>
          <w:rFonts w:ascii="Times New Roman" w:hAnsi="Times New Roman" w:cs="Times New Roman"/>
          <w:sz w:val="24"/>
          <w:szCs w:val="24"/>
        </w:rPr>
        <w:t>(</w:t>
      </w:r>
      <w:r w:rsidR="004759EC">
        <w:rPr>
          <w:rFonts w:ascii="Times New Roman" w:hAnsi="Times New Roman" w:cs="Times New Roman"/>
          <w:sz w:val="24"/>
          <w:szCs w:val="24"/>
        </w:rPr>
        <w:t>F</w:t>
      </w:r>
      <w:r w:rsidR="00063253">
        <w:rPr>
          <w:rFonts w:ascii="Times New Roman" w:hAnsi="Times New Roman" w:cs="Times New Roman"/>
          <w:sz w:val="24"/>
          <w:szCs w:val="24"/>
        </w:rPr>
        <w:t>igura</w:t>
      </w:r>
      <w:r w:rsidR="00A65D12">
        <w:rPr>
          <w:rFonts w:ascii="Times New Roman" w:hAnsi="Times New Roman" w:cs="Times New Roman"/>
          <w:sz w:val="24"/>
          <w:szCs w:val="24"/>
        </w:rPr>
        <w:t xml:space="preserve"> 2</w:t>
      </w:r>
      <w:r w:rsidR="005A79DE">
        <w:rPr>
          <w:rFonts w:ascii="Times New Roman" w:hAnsi="Times New Roman" w:cs="Times New Roman"/>
          <w:sz w:val="24"/>
          <w:szCs w:val="24"/>
        </w:rPr>
        <w:t>).</w:t>
      </w:r>
    </w:p>
    <w:p w:rsidR="00397618" w:rsidRDefault="00397618" w:rsidP="00397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618" w:rsidRDefault="00397618" w:rsidP="00397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2</w:t>
      </w:r>
    </w:p>
    <w:p w:rsidR="00397618" w:rsidRDefault="00397618" w:rsidP="0039761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Produção de biodiesel </w:t>
      </w:r>
      <w:r w:rsidR="009E36EC">
        <w:rPr>
          <w:rFonts w:ascii="Times New Roman" w:hAnsi="Times New Roman" w:cs="Times New Roman"/>
          <w:sz w:val="24"/>
          <w:szCs w:val="24"/>
        </w:rPr>
        <w:t xml:space="preserve">no Rio Grande do Sul - </w:t>
      </w:r>
      <w:r>
        <w:rPr>
          <w:rFonts w:ascii="Times New Roman" w:hAnsi="Times New Roman" w:cs="Times New Roman"/>
          <w:sz w:val="24"/>
          <w:szCs w:val="24"/>
        </w:rPr>
        <w:t>participação</w:t>
      </w:r>
      <w:r w:rsidR="009E36EC">
        <w:rPr>
          <w:rFonts w:ascii="Times New Roman" w:hAnsi="Times New Roman" w:cs="Times New Roman"/>
          <w:sz w:val="24"/>
          <w:szCs w:val="24"/>
        </w:rPr>
        <w:t xml:space="preserve"> por empresa</w:t>
      </w:r>
    </w:p>
    <w:p w:rsidR="0025795B" w:rsidRDefault="00896857" w:rsidP="002579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857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171700"/>
            <wp:effectExtent l="1905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93387" w:rsidRPr="00493387" w:rsidRDefault="00493387" w:rsidP="0049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387">
        <w:rPr>
          <w:rFonts w:ascii="Times New Roman" w:hAnsi="Times New Roman" w:cs="Times New Roman"/>
          <w:sz w:val="24"/>
          <w:szCs w:val="24"/>
        </w:rPr>
        <w:t>Fonte: ANP (2011</w:t>
      </w:r>
      <w:r w:rsidR="00EA5AB2">
        <w:rPr>
          <w:rFonts w:ascii="Times New Roman" w:hAnsi="Times New Roman" w:cs="Times New Roman"/>
          <w:sz w:val="24"/>
          <w:szCs w:val="24"/>
        </w:rPr>
        <w:t>b</w:t>
      </w:r>
      <w:r w:rsidRPr="00493387">
        <w:rPr>
          <w:rFonts w:ascii="Times New Roman" w:hAnsi="Times New Roman" w:cs="Times New Roman"/>
          <w:sz w:val="24"/>
          <w:szCs w:val="24"/>
        </w:rPr>
        <w:t>)</w:t>
      </w:r>
    </w:p>
    <w:p w:rsidR="00493387" w:rsidRPr="00493387" w:rsidRDefault="00493387" w:rsidP="00493387">
      <w:pPr>
        <w:rPr>
          <w:rFonts w:ascii="Times New Roman" w:hAnsi="Times New Roman" w:cs="Times New Roman"/>
          <w:sz w:val="24"/>
          <w:szCs w:val="24"/>
        </w:rPr>
      </w:pPr>
      <w:r w:rsidRPr="00493387">
        <w:rPr>
          <w:rFonts w:ascii="Times New Roman" w:hAnsi="Times New Roman" w:cs="Times New Roman"/>
          <w:sz w:val="24"/>
          <w:szCs w:val="24"/>
        </w:rPr>
        <w:t>*Participação calculada com base na produção acumulada de janeiro a outubro.</w:t>
      </w:r>
    </w:p>
    <w:p w:rsidR="00724F98" w:rsidRDefault="00E00CBD" w:rsidP="00724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que se </w:t>
      </w:r>
      <w:proofErr w:type="gramStart"/>
      <w:r>
        <w:rPr>
          <w:rFonts w:ascii="Times New Roman" w:hAnsi="Times New Roman" w:cs="Times New Roman"/>
          <w:sz w:val="24"/>
          <w:szCs w:val="24"/>
        </w:rPr>
        <w:t>refere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5691">
        <w:rPr>
          <w:rFonts w:ascii="Times New Roman" w:hAnsi="Times New Roman" w:cs="Times New Roman"/>
          <w:sz w:val="24"/>
          <w:szCs w:val="24"/>
        </w:rPr>
        <w:t>à</w:t>
      </w:r>
      <w:r w:rsidR="001A06BA">
        <w:rPr>
          <w:rFonts w:ascii="Times New Roman" w:hAnsi="Times New Roman" w:cs="Times New Roman"/>
          <w:sz w:val="24"/>
          <w:szCs w:val="24"/>
        </w:rPr>
        <w:t xml:space="preserve"> distribuição das unidades industriais produtoras de biodiesel</w:t>
      </w:r>
      <w:r w:rsidR="00985691">
        <w:rPr>
          <w:rFonts w:ascii="Times New Roman" w:hAnsi="Times New Roman" w:cs="Times New Roman"/>
          <w:sz w:val="24"/>
          <w:szCs w:val="24"/>
        </w:rPr>
        <w:t xml:space="preserve"> no território nacional</w:t>
      </w:r>
      <w:r w:rsidR="00C51D36">
        <w:rPr>
          <w:rFonts w:ascii="Times New Roman" w:hAnsi="Times New Roman" w:cs="Times New Roman"/>
          <w:sz w:val="24"/>
          <w:szCs w:val="24"/>
        </w:rPr>
        <w:t>,</w:t>
      </w:r>
      <w:r w:rsidR="001A06BA">
        <w:rPr>
          <w:rFonts w:ascii="Times New Roman" w:hAnsi="Times New Roman" w:cs="Times New Roman"/>
          <w:sz w:val="24"/>
          <w:szCs w:val="24"/>
        </w:rPr>
        <w:t xml:space="preserve"> </w:t>
      </w:r>
      <w:r w:rsidR="00FE1046">
        <w:rPr>
          <w:rFonts w:ascii="Times New Roman" w:hAnsi="Times New Roman" w:cs="Times New Roman"/>
          <w:sz w:val="24"/>
          <w:szCs w:val="24"/>
        </w:rPr>
        <w:t>há predominância</w:t>
      </w:r>
      <w:r>
        <w:rPr>
          <w:rFonts w:ascii="Times New Roman" w:hAnsi="Times New Roman" w:cs="Times New Roman"/>
          <w:sz w:val="24"/>
          <w:szCs w:val="24"/>
        </w:rPr>
        <w:t xml:space="preserve"> nas</w:t>
      </w:r>
      <w:r w:rsidR="001A06BA">
        <w:rPr>
          <w:rFonts w:ascii="Times New Roman" w:hAnsi="Times New Roman" w:cs="Times New Roman"/>
          <w:sz w:val="24"/>
          <w:szCs w:val="24"/>
        </w:rPr>
        <w:t xml:space="preserve"> regiões Sul, Sudeste e Centro-Oeste.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5AB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 conjunto, essas regiões responderam por</w:t>
      </w:r>
      <w:r w:rsidR="00B56322">
        <w:rPr>
          <w:rFonts w:ascii="Times New Roman" w:hAnsi="Times New Roman" w:cs="Times New Roman"/>
          <w:sz w:val="24"/>
          <w:szCs w:val="24"/>
        </w:rPr>
        <w:t xml:space="preserve"> 81,5% do total das unidades existentes,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786A">
        <w:rPr>
          <w:rFonts w:ascii="Times New Roman" w:hAnsi="Times New Roman" w:cs="Times New Roman"/>
          <w:sz w:val="24"/>
          <w:szCs w:val="24"/>
        </w:rPr>
        <w:t xml:space="preserve">83,7% da </w:t>
      </w:r>
      <w:r>
        <w:rPr>
          <w:rFonts w:ascii="Times New Roman" w:hAnsi="Times New Roman" w:cs="Times New Roman"/>
          <w:sz w:val="24"/>
          <w:szCs w:val="24"/>
        </w:rPr>
        <w:t xml:space="preserve">capacidade instalada </w:t>
      </w:r>
      <w:r w:rsidR="0033786A">
        <w:rPr>
          <w:rFonts w:ascii="Times New Roman" w:hAnsi="Times New Roman" w:cs="Times New Roman"/>
          <w:sz w:val="24"/>
          <w:szCs w:val="24"/>
        </w:rPr>
        <w:t>e 88,3% da produção no ano de 2010 (</w:t>
      </w:r>
      <w:r w:rsidR="00671677">
        <w:rPr>
          <w:rFonts w:ascii="Times New Roman" w:hAnsi="Times New Roman" w:cs="Times New Roman"/>
          <w:sz w:val="24"/>
          <w:szCs w:val="24"/>
        </w:rPr>
        <w:t>ANP, 2011b e 2011c</w:t>
      </w:r>
      <w:r w:rsidR="0033786A">
        <w:rPr>
          <w:rFonts w:ascii="Times New Roman" w:hAnsi="Times New Roman" w:cs="Times New Roman"/>
          <w:sz w:val="24"/>
          <w:szCs w:val="24"/>
        </w:rPr>
        <w:t>).</w:t>
      </w:r>
      <w:r w:rsidR="00671677">
        <w:rPr>
          <w:rFonts w:ascii="Times New Roman" w:hAnsi="Times New Roman" w:cs="Times New Roman"/>
          <w:sz w:val="24"/>
          <w:szCs w:val="24"/>
        </w:rPr>
        <w:t xml:space="preserve"> </w:t>
      </w:r>
      <w:r w:rsidR="007D208C">
        <w:rPr>
          <w:rFonts w:ascii="Times New Roman" w:hAnsi="Times New Roman" w:cs="Times New Roman"/>
          <w:sz w:val="24"/>
          <w:szCs w:val="24"/>
        </w:rPr>
        <w:t>O nível de ociosidade da capacidade instalada da indústria</w:t>
      </w:r>
      <w:r w:rsidR="00EA5AB2">
        <w:rPr>
          <w:rFonts w:ascii="Times New Roman" w:hAnsi="Times New Roman" w:cs="Times New Roman"/>
          <w:sz w:val="24"/>
          <w:szCs w:val="24"/>
        </w:rPr>
        <w:t xml:space="preserve"> gaúcha</w:t>
      </w:r>
      <w:r w:rsidR="007D208C">
        <w:rPr>
          <w:rFonts w:ascii="Times New Roman" w:hAnsi="Times New Roman" w:cs="Times New Roman"/>
          <w:sz w:val="24"/>
          <w:szCs w:val="24"/>
        </w:rPr>
        <w:t xml:space="preserve"> </w:t>
      </w:r>
      <w:r w:rsidR="00671677">
        <w:rPr>
          <w:rFonts w:ascii="Times New Roman" w:hAnsi="Times New Roman" w:cs="Times New Roman"/>
          <w:sz w:val="24"/>
          <w:szCs w:val="24"/>
        </w:rPr>
        <w:t>de</w:t>
      </w:r>
      <w:r w:rsidR="00985691">
        <w:rPr>
          <w:rFonts w:ascii="Times New Roman" w:hAnsi="Times New Roman" w:cs="Times New Roman"/>
          <w:sz w:val="24"/>
          <w:szCs w:val="24"/>
        </w:rPr>
        <w:t xml:space="preserve"> biodiesel </w:t>
      </w:r>
      <w:r w:rsidR="00FD33E6">
        <w:rPr>
          <w:rFonts w:ascii="Times New Roman" w:hAnsi="Times New Roman" w:cs="Times New Roman"/>
          <w:sz w:val="24"/>
          <w:szCs w:val="24"/>
        </w:rPr>
        <w:t>(5</w:t>
      </w:r>
      <w:r w:rsidR="00EA5AB2">
        <w:rPr>
          <w:rFonts w:ascii="Times New Roman" w:hAnsi="Times New Roman" w:cs="Times New Roman"/>
          <w:sz w:val="24"/>
          <w:szCs w:val="24"/>
        </w:rPr>
        <w:t xml:space="preserve">6%) </w:t>
      </w:r>
      <w:r w:rsidR="007D208C">
        <w:rPr>
          <w:rFonts w:ascii="Times New Roman" w:hAnsi="Times New Roman" w:cs="Times New Roman"/>
          <w:sz w:val="24"/>
          <w:szCs w:val="24"/>
        </w:rPr>
        <w:t>foi</w:t>
      </w:r>
      <w:r w:rsidR="00EA5AB2">
        <w:rPr>
          <w:rFonts w:ascii="Times New Roman" w:hAnsi="Times New Roman" w:cs="Times New Roman"/>
          <w:sz w:val="24"/>
          <w:szCs w:val="24"/>
        </w:rPr>
        <w:t xml:space="preserve"> menor que o observado nacionalmente (59%) em 2010. </w:t>
      </w:r>
      <w:r w:rsidR="007A7E82">
        <w:rPr>
          <w:rFonts w:ascii="Times New Roman" w:hAnsi="Times New Roman" w:cs="Times New Roman"/>
          <w:sz w:val="24"/>
          <w:szCs w:val="24"/>
        </w:rPr>
        <w:t>Porém, a perspectiva de expansão da capacidade instalada em 34% nos próximos anos pode conduzir o</w:t>
      </w:r>
      <w:r w:rsidR="00E82ABC">
        <w:rPr>
          <w:rFonts w:ascii="Times New Roman" w:hAnsi="Times New Roman" w:cs="Times New Roman"/>
          <w:sz w:val="24"/>
          <w:szCs w:val="24"/>
        </w:rPr>
        <w:t xml:space="preserve"> E</w:t>
      </w:r>
      <w:r w:rsidR="009230C5">
        <w:rPr>
          <w:rFonts w:ascii="Times New Roman" w:hAnsi="Times New Roman" w:cs="Times New Roman"/>
          <w:sz w:val="24"/>
          <w:szCs w:val="24"/>
        </w:rPr>
        <w:t>stado a uma situação similar à</w:t>
      </w:r>
      <w:r w:rsidR="007A7E82">
        <w:rPr>
          <w:rFonts w:ascii="Times New Roman" w:hAnsi="Times New Roman" w:cs="Times New Roman"/>
          <w:sz w:val="24"/>
          <w:szCs w:val="24"/>
        </w:rPr>
        <w:t xml:space="preserve"> observad</w:t>
      </w:r>
      <w:r w:rsidR="004759EC">
        <w:rPr>
          <w:rFonts w:ascii="Times New Roman" w:hAnsi="Times New Roman" w:cs="Times New Roman"/>
          <w:sz w:val="24"/>
          <w:szCs w:val="24"/>
        </w:rPr>
        <w:t>a no restante do país (F</w:t>
      </w:r>
      <w:r w:rsidR="00FD33E6">
        <w:rPr>
          <w:rFonts w:ascii="Times New Roman" w:hAnsi="Times New Roman" w:cs="Times New Roman"/>
          <w:sz w:val="24"/>
          <w:szCs w:val="24"/>
        </w:rPr>
        <w:t>igura 3</w:t>
      </w:r>
      <w:r w:rsidR="007A7E8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D33E6" w:rsidRDefault="00FD33E6" w:rsidP="00FD3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3</w:t>
      </w:r>
    </w:p>
    <w:p w:rsidR="00724F98" w:rsidRDefault="00FD33E6" w:rsidP="00AB6D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Produção e capacidade instalada da indústria no Rio Grande do Sul (em milhares de m</w:t>
      </w:r>
      <w:r w:rsidRPr="00FD33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4F98" w:rsidRPr="004E770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114550"/>
            <wp:effectExtent l="19050" t="0" r="10160" b="0"/>
            <wp:docPr id="1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5AB2" w:rsidRPr="00EA5AB2" w:rsidRDefault="00FD33E6" w:rsidP="00EA5A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</w:t>
      </w:r>
      <w:r w:rsidR="00EA5AB2" w:rsidRPr="00EA5AB2">
        <w:rPr>
          <w:rFonts w:ascii="Times New Roman" w:hAnsi="Times New Roman" w:cs="Times New Roman"/>
          <w:sz w:val="24"/>
          <w:szCs w:val="24"/>
        </w:rPr>
        <w:t>: ANP (2011</w:t>
      </w:r>
      <w:r w:rsidR="00EA5AB2">
        <w:rPr>
          <w:rFonts w:ascii="Times New Roman" w:hAnsi="Times New Roman" w:cs="Times New Roman"/>
          <w:sz w:val="24"/>
          <w:szCs w:val="24"/>
        </w:rPr>
        <w:t>b e 2011c</w:t>
      </w:r>
      <w:r w:rsidR="00EA5AB2" w:rsidRPr="00EA5AB2">
        <w:rPr>
          <w:rFonts w:ascii="Times New Roman" w:hAnsi="Times New Roman" w:cs="Times New Roman"/>
          <w:sz w:val="24"/>
          <w:szCs w:val="24"/>
        </w:rPr>
        <w:t>)</w:t>
      </w:r>
    </w:p>
    <w:p w:rsidR="00EA5AB2" w:rsidRPr="00EA5AB2" w:rsidRDefault="00EA5AB2" w:rsidP="00EA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AB2">
        <w:rPr>
          <w:rFonts w:ascii="Times New Roman" w:hAnsi="Times New Roman" w:cs="Times New Roman"/>
          <w:sz w:val="24"/>
          <w:szCs w:val="24"/>
        </w:rPr>
        <w:t>* Produção acumulados de janeiro a outubro</w:t>
      </w:r>
    </w:p>
    <w:p w:rsidR="00EA5AB2" w:rsidRPr="00EA5AB2" w:rsidRDefault="00EA5AB2" w:rsidP="00EA5A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AB2">
        <w:rPr>
          <w:rFonts w:ascii="Times New Roman" w:hAnsi="Times New Roman" w:cs="Times New Roman"/>
          <w:sz w:val="24"/>
          <w:szCs w:val="24"/>
        </w:rPr>
        <w:t xml:space="preserve">** Capacidade estimada considerando a realização de todos os investimentos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A5AB2">
        <w:rPr>
          <w:rFonts w:ascii="Times New Roman" w:hAnsi="Times New Roman" w:cs="Times New Roman"/>
          <w:sz w:val="24"/>
          <w:szCs w:val="24"/>
        </w:rPr>
        <w:t>utorizados pela ANP</w:t>
      </w:r>
      <w:r w:rsidR="004759EC">
        <w:rPr>
          <w:rFonts w:ascii="Times New Roman" w:hAnsi="Times New Roman" w:cs="Times New Roman"/>
          <w:sz w:val="24"/>
          <w:szCs w:val="24"/>
        </w:rPr>
        <w:t xml:space="preserve"> </w:t>
      </w:r>
      <w:r w:rsidR="006518EE">
        <w:rPr>
          <w:rFonts w:ascii="Times New Roman" w:hAnsi="Times New Roman" w:cs="Times New Roman"/>
          <w:sz w:val="24"/>
          <w:szCs w:val="24"/>
        </w:rPr>
        <w:t xml:space="preserve">até outubro de 2011 </w:t>
      </w:r>
      <w:r w:rsidR="004759EC">
        <w:rPr>
          <w:rFonts w:ascii="Times New Roman" w:hAnsi="Times New Roman" w:cs="Times New Roman"/>
          <w:sz w:val="24"/>
          <w:szCs w:val="24"/>
        </w:rPr>
        <w:t>(</w:t>
      </w:r>
      <w:r w:rsidR="006518EE">
        <w:rPr>
          <w:rFonts w:ascii="Times New Roman" w:hAnsi="Times New Roman" w:cs="Times New Roman"/>
          <w:sz w:val="24"/>
          <w:szCs w:val="24"/>
        </w:rPr>
        <w:t xml:space="preserve">ANP, </w:t>
      </w:r>
      <w:r w:rsidR="004759EC">
        <w:rPr>
          <w:rFonts w:ascii="Times New Roman" w:hAnsi="Times New Roman" w:cs="Times New Roman"/>
          <w:sz w:val="24"/>
          <w:szCs w:val="24"/>
        </w:rPr>
        <w:t>2011c)</w:t>
      </w:r>
    </w:p>
    <w:p w:rsidR="00E56270" w:rsidRDefault="00E56270" w:rsidP="00EA5A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8CA" w:rsidRDefault="00736F20" w:rsidP="004759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construção de t</w:t>
      </w:r>
      <w:r w:rsidR="00D16750">
        <w:rPr>
          <w:rFonts w:ascii="Times New Roman" w:hAnsi="Times New Roman" w:cs="Times New Roman"/>
          <w:sz w:val="24"/>
          <w:szCs w:val="24"/>
        </w:rPr>
        <w:t>rês novas plantas</w:t>
      </w:r>
      <w:r w:rsidR="007A7E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está autorizada</w:t>
      </w:r>
      <w:r w:rsidR="00D16750">
        <w:rPr>
          <w:rFonts w:ascii="Times New Roman" w:hAnsi="Times New Roman" w:cs="Times New Roman"/>
          <w:sz w:val="24"/>
          <w:szCs w:val="24"/>
        </w:rPr>
        <w:t xml:space="preserve"> no Rio Grande do Sul e a unidade industrial da empresa </w:t>
      </w:r>
      <w:proofErr w:type="spellStart"/>
      <w:r w:rsidR="00D16750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="00D16750">
        <w:rPr>
          <w:rFonts w:ascii="Times New Roman" w:hAnsi="Times New Roman" w:cs="Times New Roman"/>
          <w:sz w:val="24"/>
          <w:szCs w:val="24"/>
        </w:rPr>
        <w:t xml:space="preserve"> </w:t>
      </w:r>
      <w:r w:rsidR="00C51D36">
        <w:rPr>
          <w:rFonts w:ascii="Times New Roman" w:hAnsi="Times New Roman" w:cs="Times New Roman"/>
          <w:sz w:val="24"/>
          <w:szCs w:val="24"/>
        </w:rPr>
        <w:t>está autorizada a</w:t>
      </w:r>
      <w:r w:rsidR="00D16750">
        <w:rPr>
          <w:rFonts w:ascii="Times New Roman" w:hAnsi="Times New Roman" w:cs="Times New Roman"/>
          <w:sz w:val="24"/>
          <w:szCs w:val="24"/>
        </w:rPr>
        <w:t xml:space="preserve"> ampliar sua capacidade em 90 mil m</w:t>
      </w:r>
      <w:r w:rsidR="00D16750" w:rsidRPr="00D1675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6750">
        <w:rPr>
          <w:rFonts w:ascii="Times New Roman" w:hAnsi="Times New Roman" w:cs="Times New Roman"/>
          <w:sz w:val="24"/>
          <w:szCs w:val="24"/>
        </w:rPr>
        <w:t xml:space="preserve">/ano. </w:t>
      </w:r>
      <w:r w:rsidR="00FF3563">
        <w:rPr>
          <w:rFonts w:ascii="Times New Roman" w:hAnsi="Times New Roman" w:cs="Times New Roman"/>
          <w:sz w:val="24"/>
          <w:szCs w:val="24"/>
        </w:rPr>
        <w:t>As novas plantas industriais</w:t>
      </w:r>
      <w:r w:rsidR="00D16750">
        <w:rPr>
          <w:rFonts w:ascii="Times New Roman" w:hAnsi="Times New Roman" w:cs="Times New Roman"/>
          <w:sz w:val="24"/>
          <w:szCs w:val="24"/>
        </w:rPr>
        <w:t xml:space="preserve"> </w:t>
      </w:r>
      <w:r w:rsidR="00FF3563">
        <w:rPr>
          <w:rFonts w:ascii="Times New Roman" w:hAnsi="Times New Roman" w:cs="Times New Roman"/>
          <w:sz w:val="24"/>
          <w:szCs w:val="24"/>
        </w:rPr>
        <w:t xml:space="preserve">previstas no </w:t>
      </w:r>
      <w:r w:rsidR="00D16750">
        <w:rPr>
          <w:rFonts w:ascii="Times New Roman" w:hAnsi="Times New Roman" w:cs="Times New Roman"/>
          <w:sz w:val="24"/>
          <w:szCs w:val="24"/>
        </w:rPr>
        <w:t>estado</w:t>
      </w:r>
      <w:r w:rsidR="00FF3563">
        <w:rPr>
          <w:rFonts w:ascii="Times New Roman" w:hAnsi="Times New Roman" w:cs="Times New Roman"/>
          <w:sz w:val="24"/>
          <w:szCs w:val="24"/>
        </w:rPr>
        <w:t xml:space="preserve"> </w:t>
      </w:r>
      <w:r w:rsidR="00C51D36">
        <w:rPr>
          <w:rFonts w:ascii="Times New Roman" w:hAnsi="Times New Roman" w:cs="Times New Roman"/>
          <w:sz w:val="24"/>
          <w:szCs w:val="24"/>
        </w:rPr>
        <w:t>pertencem às</w:t>
      </w:r>
      <w:r w:rsidR="00FF3563">
        <w:rPr>
          <w:rFonts w:ascii="Times New Roman" w:hAnsi="Times New Roman" w:cs="Times New Roman"/>
          <w:sz w:val="24"/>
          <w:szCs w:val="24"/>
        </w:rPr>
        <w:t xml:space="preserve"> empresas Bianchini (Canoas), </w:t>
      </w:r>
      <w:proofErr w:type="spellStart"/>
      <w:r w:rsidR="00FF3563">
        <w:rPr>
          <w:rFonts w:ascii="Times New Roman" w:hAnsi="Times New Roman" w:cs="Times New Roman"/>
          <w:sz w:val="24"/>
          <w:szCs w:val="24"/>
        </w:rPr>
        <w:t>Bocchi</w:t>
      </w:r>
      <w:proofErr w:type="spellEnd"/>
      <w:r w:rsidR="00FF3563">
        <w:rPr>
          <w:rFonts w:ascii="Times New Roman" w:hAnsi="Times New Roman" w:cs="Times New Roman"/>
          <w:sz w:val="24"/>
          <w:szCs w:val="24"/>
        </w:rPr>
        <w:t xml:space="preserve"> (Muitos Capões) e Fuga Couros (Camargo)</w:t>
      </w:r>
      <w:r w:rsidR="00CE0796">
        <w:rPr>
          <w:rFonts w:ascii="Times New Roman" w:hAnsi="Times New Roman" w:cs="Times New Roman"/>
          <w:sz w:val="24"/>
          <w:szCs w:val="24"/>
        </w:rPr>
        <w:t xml:space="preserve"> (Tabela 1)</w:t>
      </w:r>
      <w:r w:rsidR="00CD5432">
        <w:rPr>
          <w:rFonts w:ascii="Times New Roman" w:hAnsi="Times New Roman" w:cs="Times New Roman"/>
          <w:sz w:val="24"/>
          <w:szCs w:val="24"/>
        </w:rPr>
        <w:t>, respondendo p</w:t>
      </w:r>
      <w:r w:rsidR="00D16750">
        <w:rPr>
          <w:rFonts w:ascii="Times New Roman" w:hAnsi="Times New Roman" w:cs="Times New Roman"/>
          <w:sz w:val="24"/>
          <w:szCs w:val="24"/>
        </w:rPr>
        <w:t xml:space="preserve">or aproximadamente 36% da elevação da capacidade instalada brasileira </w:t>
      </w:r>
      <w:r w:rsidR="005E3DA8">
        <w:rPr>
          <w:rFonts w:ascii="Times New Roman" w:hAnsi="Times New Roman" w:cs="Times New Roman"/>
          <w:sz w:val="24"/>
          <w:szCs w:val="24"/>
        </w:rPr>
        <w:t xml:space="preserve">prevista </w:t>
      </w:r>
      <w:r w:rsidR="00D16750">
        <w:rPr>
          <w:rFonts w:ascii="Times New Roman" w:hAnsi="Times New Roman" w:cs="Times New Roman"/>
          <w:sz w:val="24"/>
          <w:szCs w:val="24"/>
        </w:rPr>
        <w:t>a partir de 2012.</w:t>
      </w:r>
    </w:p>
    <w:p w:rsidR="004759EC" w:rsidRDefault="004759EC" w:rsidP="00475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</w:t>
      </w:r>
    </w:p>
    <w:p w:rsidR="004759EC" w:rsidRDefault="004759EC" w:rsidP="004759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D36" w:rsidRDefault="00C51D36" w:rsidP="004759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Investimentos </w:t>
      </w:r>
      <w:r w:rsidR="008058CA">
        <w:rPr>
          <w:rFonts w:ascii="Times New Roman" w:hAnsi="Times New Roman" w:cs="Times New Roman"/>
          <w:sz w:val="24"/>
          <w:szCs w:val="24"/>
        </w:rPr>
        <w:t>previstos para a</w:t>
      </w:r>
      <w:r>
        <w:rPr>
          <w:rFonts w:ascii="Times New Roman" w:hAnsi="Times New Roman" w:cs="Times New Roman"/>
          <w:sz w:val="24"/>
          <w:szCs w:val="24"/>
        </w:rPr>
        <w:t xml:space="preserve"> indústria do biodiesel</w:t>
      </w:r>
      <w:r w:rsidR="008058CA">
        <w:rPr>
          <w:rFonts w:ascii="Times New Roman" w:hAnsi="Times New Roman" w:cs="Times New Roman"/>
          <w:sz w:val="24"/>
          <w:szCs w:val="24"/>
        </w:rPr>
        <w:t xml:space="preserve"> no </w:t>
      </w:r>
      <w:r w:rsidR="00E51251">
        <w:rPr>
          <w:rFonts w:ascii="Times New Roman" w:hAnsi="Times New Roman" w:cs="Times New Roman"/>
          <w:sz w:val="24"/>
          <w:szCs w:val="24"/>
        </w:rPr>
        <w:t>Rio Grande do Sul</w:t>
      </w:r>
    </w:p>
    <w:tbl>
      <w:tblPr>
        <w:tblW w:w="84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76"/>
        <w:gridCol w:w="2056"/>
        <w:gridCol w:w="576"/>
        <w:gridCol w:w="1276"/>
        <w:gridCol w:w="2316"/>
      </w:tblGrid>
      <w:tr w:rsidR="00E51251" w:rsidRPr="00E51251" w:rsidTr="00E51251">
        <w:trPr>
          <w:trHeight w:val="705"/>
        </w:trPr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251" w:rsidRPr="00E51251" w:rsidRDefault="00E51251" w:rsidP="00E5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Empresa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251" w:rsidRPr="00E51251" w:rsidRDefault="00E51251" w:rsidP="00E5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Município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251" w:rsidRPr="00E51251" w:rsidRDefault="00E51251" w:rsidP="00E5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UF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1251" w:rsidRPr="00E51251" w:rsidRDefault="00E51251" w:rsidP="00E5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Situação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51251" w:rsidRPr="00E51251" w:rsidRDefault="00E51251" w:rsidP="00E51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Capacidade autorizada (m</w:t>
            </w: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t-BR"/>
              </w:rPr>
              <w:t>3</w:t>
            </w:r>
            <w:r w:rsidRPr="00E512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/ano)</w:t>
            </w:r>
          </w:p>
        </w:tc>
      </w:tr>
      <w:tr w:rsidR="00E51251" w:rsidRPr="00E51251" w:rsidTr="00E51251">
        <w:trPr>
          <w:trHeight w:val="31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BIANCHINI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Canoas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Nova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F13E10" w:rsidP="00E5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324.</w:t>
            </w:r>
            <w:r w:rsidR="00E51251"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000</w:t>
            </w:r>
          </w:p>
        </w:tc>
      </w:tr>
      <w:tr w:rsidR="00E51251" w:rsidRPr="00E51251" w:rsidTr="00E51251">
        <w:trPr>
          <w:trHeight w:val="31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BOCCHI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Muitos Capões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Nova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F13E10" w:rsidP="00E5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86.</w:t>
            </w:r>
            <w:r w:rsidR="00E51251"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</w:tr>
      <w:tr w:rsidR="00E51251" w:rsidRPr="00E51251" w:rsidTr="00E51251">
        <w:trPr>
          <w:trHeight w:val="315"/>
        </w:trPr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CAMERA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Ijuí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Ampliação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F13E10" w:rsidP="00E5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90.</w:t>
            </w:r>
            <w:r w:rsidR="00E51251"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000</w:t>
            </w:r>
          </w:p>
        </w:tc>
      </w:tr>
      <w:tr w:rsidR="00E51251" w:rsidRPr="00E51251" w:rsidTr="00E51251">
        <w:trPr>
          <w:trHeight w:val="330"/>
        </w:trPr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FUGA COUROS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Camargo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E51251" w:rsidP="00E512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Nova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251" w:rsidRPr="00E51251" w:rsidRDefault="00F13E10" w:rsidP="00E51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108.</w:t>
            </w:r>
            <w:r w:rsidR="00E51251" w:rsidRPr="00E512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000</w:t>
            </w:r>
          </w:p>
        </w:tc>
      </w:tr>
    </w:tbl>
    <w:p w:rsidR="00D16750" w:rsidRDefault="00C358D0" w:rsidP="00C51D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</w:t>
      </w:r>
      <w:r w:rsidR="00C51D36">
        <w:rPr>
          <w:rFonts w:ascii="Times New Roman" w:hAnsi="Times New Roman" w:cs="Times New Roman"/>
          <w:sz w:val="24"/>
          <w:szCs w:val="24"/>
        </w:rPr>
        <w:t>: ANP (2011</w:t>
      </w:r>
      <w:r w:rsidR="008058CA">
        <w:rPr>
          <w:rFonts w:ascii="Times New Roman" w:hAnsi="Times New Roman" w:cs="Times New Roman"/>
          <w:sz w:val="24"/>
          <w:szCs w:val="24"/>
        </w:rPr>
        <w:t>c</w:t>
      </w:r>
      <w:r w:rsidR="00C51D36">
        <w:rPr>
          <w:rFonts w:ascii="Times New Roman" w:hAnsi="Times New Roman" w:cs="Times New Roman"/>
          <w:sz w:val="24"/>
          <w:szCs w:val="24"/>
        </w:rPr>
        <w:t>)</w:t>
      </w:r>
    </w:p>
    <w:p w:rsidR="00E51251" w:rsidRDefault="00694155" w:rsidP="00835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elevada capacidade ociosa da indústria</w:t>
      </w:r>
      <w:r w:rsidR="00AD5CE0">
        <w:rPr>
          <w:rFonts w:ascii="Times New Roman" w:hAnsi="Times New Roman" w:cs="Times New Roman"/>
          <w:sz w:val="24"/>
          <w:szCs w:val="24"/>
        </w:rPr>
        <w:t xml:space="preserve"> e a perspectiva de novos investimentos estão</w:t>
      </w:r>
      <w:r>
        <w:rPr>
          <w:rFonts w:ascii="Times New Roman" w:hAnsi="Times New Roman" w:cs="Times New Roman"/>
          <w:sz w:val="24"/>
          <w:szCs w:val="24"/>
        </w:rPr>
        <w:t xml:space="preserve"> entre os principais motivadores da busca do setor por um novo marco regulatório que contemple a elevação gradual da mistura.</w:t>
      </w:r>
      <w:r w:rsidR="00DD5C08">
        <w:rPr>
          <w:rFonts w:ascii="Times New Roman" w:hAnsi="Times New Roman" w:cs="Times New Roman"/>
          <w:sz w:val="24"/>
          <w:szCs w:val="24"/>
        </w:rPr>
        <w:t xml:space="preserve"> </w:t>
      </w:r>
      <w:r w:rsidR="00DD5C08" w:rsidRPr="00DD5C08">
        <w:rPr>
          <w:rFonts w:ascii="Times New Roman" w:hAnsi="Times New Roman" w:cs="Times New Roman"/>
          <w:sz w:val="24"/>
          <w:szCs w:val="24"/>
        </w:rPr>
        <w:t>Uma comissão interministerial trabalhou ao lo</w:t>
      </w:r>
      <w:r w:rsidR="00DD5C08">
        <w:rPr>
          <w:rFonts w:ascii="Times New Roman" w:hAnsi="Times New Roman" w:cs="Times New Roman"/>
          <w:sz w:val="24"/>
          <w:szCs w:val="24"/>
        </w:rPr>
        <w:t xml:space="preserve">ngo </w:t>
      </w:r>
      <w:r w:rsidR="00835544">
        <w:rPr>
          <w:rFonts w:ascii="Times New Roman" w:hAnsi="Times New Roman" w:cs="Times New Roman"/>
          <w:sz w:val="24"/>
          <w:szCs w:val="24"/>
        </w:rPr>
        <w:t>de 2011</w:t>
      </w:r>
      <w:r w:rsidR="00DD5C08">
        <w:rPr>
          <w:rFonts w:ascii="Times New Roman" w:hAnsi="Times New Roman" w:cs="Times New Roman"/>
          <w:sz w:val="24"/>
          <w:szCs w:val="24"/>
        </w:rPr>
        <w:t xml:space="preserve"> colhendo subsídios dos principais </w:t>
      </w:r>
      <w:r w:rsidR="00DD5C08" w:rsidRPr="00DD5C08">
        <w:rPr>
          <w:rFonts w:ascii="Times New Roman" w:hAnsi="Times New Roman" w:cs="Times New Roman"/>
          <w:sz w:val="24"/>
          <w:szCs w:val="24"/>
        </w:rPr>
        <w:t>segmentos da cadeia produtiva e</w:t>
      </w:r>
      <w:r w:rsidR="00835544">
        <w:rPr>
          <w:rFonts w:ascii="Times New Roman" w:hAnsi="Times New Roman" w:cs="Times New Roman"/>
          <w:sz w:val="24"/>
          <w:szCs w:val="24"/>
        </w:rPr>
        <w:t xml:space="preserve"> </w:t>
      </w:r>
      <w:r w:rsidR="00DD5C08" w:rsidRPr="00DD5C08">
        <w:rPr>
          <w:rFonts w:ascii="Times New Roman" w:hAnsi="Times New Roman" w:cs="Times New Roman"/>
          <w:sz w:val="24"/>
          <w:szCs w:val="24"/>
        </w:rPr>
        <w:lastRenderedPageBreak/>
        <w:t xml:space="preserve">deverá submeter à </w:t>
      </w:r>
      <w:r w:rsidR="00DD5C08">
        <w:rPr>
          <w:rFonts w:ascii="Times New Roman" w:hAnsi="Times New Roman" w:cs="Times New Roman"/>
          <w:sz w:val="24"/>
          <w:szCs w:val="24"/>
        </w:rPr>
        <w:t>Casa Civil da Presidência da República</w:t>
      </w:r>
      <w:r w:rsidR="00DD5C08" w:rsidRPr="00DD5C08">
        <w:rPr>
          <w:rFonts w:ascii="Times New Roman" w:hAnsi="Times New Roman" w:cs="Times New Roman"/>
          <w:sz w:val="24"/>
          <w:szCs w:val="24"/>
        </w:rPr>
        <w:t xml:space="preserve"> uma proposição que contemple o futuro do biodiesel no país.</w:t>
      </w:r>
      <w:r w:rsidR="008355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C08" w:rsidRPr="00DD5C08" w:rsidRDefault="00CF55E8" w:rsidP="008355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</w:t>
      </w:r>
      <w:r w:rsidR="000B25F5">
        <w:rPr>
          <w:rFonts w:ascii="Times New Roman" w:hAnsi="Times New Roman" w:cs="Times New Roman"/>
          <w:sz w:val="24"/>
          <w:szCs w:val="24"/>
        </w:rPr>
        <w:t>A</w:t>
      </w:r>
      <w:r w:rsidR="00B42AC1">
        <w:rPr>
          <w:rFonts w:ascii="Times New Roman" w:hAnsi="Times New Roman" w:cs="Times New Roman"/>
          <w:sz w:val="24"/>
          <w:szCs w:val="24"/>
        </w:rPr>
        <w:t>ssociação dos Produtores de Biodiesel do Brasil – A</w:t>
      </w:r>
      <w:r w:rsidR="000B25F5">
        <w:rPr>
          <w:rFonts w:ascii="Times New Roman" w:hAnsi="Times New Roman" w:cs="Times New Roman"/>
          <w:sz w:val="24"/>
          <w:szCs w:val="24"/>
        </w:rPr>
        <w:t xml:space="preserve">PROBIO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A0355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),</w:t>
      </w:r>
      <w:r w:rsidR="006C7323">
        <w:rPr>
          <w:rFonts w:ascii="Times New Roman" w:hAnsi="Times New Roman" w:cs="Times New Roman"/>
          <w:sz w:val="24"/>
          <w:szCs w:val="24"/>
        </w:rPr>
        <w:t xml:space="preserve"> </w:t>
      </w:r>
      <w:r w:rsidR="00835544">
        <w:rPr>
          <w:rFonts w:ascii="Times New Roman" w:hAnsi="Times New Roman" w:cs="Times New Roman"/>
          <w:sz w:val="24"/>
          <w:szCs w:val="24"/>
        </w:rPr>
        <w:t xml:space="preserve">a expectativa </w:t>
      </w:r>
      <w:r w:rsidR="00DE6C38">
        <w:rPr>
          <w:rFonts w:ascii="Times New Roman" w:hAnsi="Times New Roman" w:cs="Times New Roman"/>
          <w:sz w:val="24"/>
          <w:szCs w:val="24"/>
        </w:rPr>
        <w:t>é</w:t>
      </w:r>
      <w:r w:rsidR="00DE6C38" w:rsidRPr="00DE6C38">
        <w:rPr>
          <w:rFonts w:ascii="Times New Roman" w:hAnsi="Times New Roman" w:cs="Times New Roman"/>
          <w:sz w:val="24"/>
          <w:szCs w:val="24"/>
        </w:rPr>
        <w:t xml:space="preserve"> de se chegar em 2014 com 10% de mistura e em 2020 com 20%, a exemplo do que prevê a Europa para seus países, além de Argentina e Colômbia na América Latina</w:t>
      </w:r>
      <w:r w:rsidR="00DE6C38">
        <w:rPr>
          <w:rFonts w:ascii="Times New Roman" w:hAnsi="Times New Roman" w:cs="Times New Roman"/>
          <w:sz w:val="24"/>
          <w:szCs w:val="24"/>
        </w:rPr>
        <w:t xml:space="preserve">. </w:t>
      </w:r>
      <w:r w:rsidR="00E56F08">
        <w:rPr>
          <w:rFonts w:ascii="Times New Roman" w:hAnsi="Times New Roman" w:cs="Times New Roman"/>
          <w:sz w:val="24"/>
          <w:szCs w:val="24"/>
        </w:rPr>
        <w:t xml:space="preserve">Em reunião da entidade com a Ministra da Casa Civil, </w:t>
      </w:r>
      <w:proofErr w:type="spellStart"/>
      <w:r w:rsidR="00E56F08">
        <w:rPr>
          <w:rFonts w:ascii="Times New Roman" w:hAnsi="Times New Roman" w:cs="Times New Roman"/>
          <w:sz w:val="24"/>
          <w:szCs w:val="24"/>
        </w:rPr>
        <w:t>Gleisi</w:t>
      </w:r>
      <w:proofErr w:type="spellEnd"/>
      <w:r w:rsidR="00E56F08">
        <w:rPr>
          <w:rFonts w:ascii="Times New Roman" w:hAnsi="Times New Roman" w:cs="Times New Roman"/>
          <w:sz w:val="24"/>
          <w:szCs w:val="24"/>
        </w:rPr>
        <w:t xml:space="preserve"> Hoffman</w:t>
      </w:r>
      <w:r w:rsidR="007142A9">
        <w:rPr>
          <w:rFonts w:ascii="Times New Roman" w:hAnsi="Times New Roman" w:cs="Times New Roman"/>
          <w:sz w:val="24"/>
          <w:szCs w:val="24"/>
        </w:rPr>
        <w:t>n</w:t>
      </w:r>
      <w:r w:rsidR="00E56F08">
        <w:rPr>
          <w:rFonts w:ascii="Times New Roman" w:hAnsi="Times New Roman" w:cs="Times New Roman"/>
          <w:sz w:val="24"/>
          <w:szCs w:val="24"/>
        </w:rPr>
        <w:t xml:space="preserve">, foi sinalizado </w:t>
      </w:r>
      <w:r w:rsidR="00DE6C38">
        <w:rPr>
          <w:rFonts w:ascii="Times New Roman" w:hAnsi="Times New Roman" w:cs="Times New Roman"/>
          <w:sz w:val="24"/>
          <w:szCs w:val="24"/>
        </w:rPr>
        <w:t xml:space="preserve">que </w:t>
      </w:r>
      <w:r w:rsidR="00E56F08">
        <w:rPr>
          <w:rFonts w:ascii="Times New Roman" w:hAnsi="Times New Roman" w:cs="Times New Roman"/>
          <w:sz w:val="24"/>
          <w:szCs w:val="24"/>
        </w:rPr>
        <w:t>ainda no primeiro trimestre de 2012</w:t>
      </w:r>
      <w:r w:rsidR="00835544">
        <w:rPr>
          <w:rFonts w:ascii="Times New Roman" w:hAnsi="Times New Roman" w:cs="Times New Roman"/>
          <w:sz w:val="24"/>
          <w:szCs w:val="24"/>
        </w:rPr>
        <w:t xml:space="preserve"> </w:t>
      </w:r>
      <w:r w:rsidR="00DE6C38">
        <w:rPr>
          <w:rFonts w:ascii="Times New Roman" w:hAnsi="Times New Roman" w:cs="Times New Roman"/>
          <w:sz w:val="24"/>
          <w:szCs w:val="24"/>
        </w:rPr>
        <w:t>a</w:t>
      </w:r>
      <w:r w:rsidR="00835544" w:rsidRPr="00835544">
        <w:rPr>
          <w:rFonts w:ascii="Times New Roman" w:hAnsi="Times New Roman" w:cs="Times New Roman"/>
          <w:sz w:val="24"/>
          <w:szCs w:val="24"/>
        </w:rPr>
        <w:t xml:space="preserve"> proposta de </w:t>
      </w:r>
      <w:r w:rsidR="00DE6C38">
        <w:rPr>
          <w:rFonts w:ascii="Times New Roman" w:hAnsi="Times New Roman" w:cs="Times New Roman"/>
          <w:sz w:val="24"/>
          <w:szCs w:val="24"/>
        </w:rPr>
        <w:t xml:space="preserve">novo </w:t>
      </w:r>
      <w:r w:rsidR="00835544" w:rsidRPr="00835544">
        <w:rPr>
          <w:rFonts w:ascii="Times New Roman" w:hAnsi="Times New Roman" w:cs="Times New Roman"/>
          <w:sz w:val="24"/>
          <w:szCs w:val="24"/>
        </w:rPr>
        <w:t xml:space="preserve">marco </w:t>
      </w:r>
      <w:r w:rsidR="000B25F5">
        <w:rPr>
          <w:rFonts w:ascii="Times New Roman" w:hAnsi="Times New Roman" w:cs="Times New Roman"/>
          <w:sz w:val="24"/>
          <w:szCs w:val="24"/>
        </w:rPr>
        <w:t xml:space="preserve">regulatório </w:t>
      </w:r>
      <w:r w:rsidR="00E56F08">
        <w:rPr>
          <w:rFonts w:ascii="Times New Roman" w:hAnsi="Times New Roman" w:cs="Times New Roman"/>
          <w:sz w:val="24"/>
          <w:szCs w:val="24"/>
        </w:rPr>
        <w:t>estará pronta</w:t>
      </w:r>
      <w:r w:rsidR="00DE6C38">
        <w:rPr>
          <w:rFonts w:ascii="Times New Roman" w:hAnsi="Times New Roman" w:cs="Times New Roman"/>
          <w:sz w:val="24"/>
          <w:szCs w:val="24"/>
        </w:rPr>
        <w:t xml:space="preserve"> </w:t>
      </w:r>
      <w:r w:rsidR="000B25F5">
        <w:rPr>
          <w:rFonts w:ascii="Times New Roman" w:hAnsi="Times New Roman" w:cs="Times New Roman"/>
          <w:sz w:val="24"/>
          <w:szCs w:val="24"/>
        </w:rPr>
        <w:t>para ser encaminhada</w:t>
      </w:r>
      <w:r w:rsidR="00835544" w:rsidRPr="00835544">
        <w:rPr>
          <w:rFonts w:ascii="Times New Roman" w:hAnsi="Times New Roman" w:cs="Times New Roman"/>
          <w:sz w:val="24"/>
          <w:szCs w:val="24"/>
        </w:rPr>
        <w:t xml:space="preserve"> ao Congresso</w:t>
      </w:r>
      <w:r w:rsidR="00C83F5A">
        <w:rPr>
          <w:rFonts w:ascii="Times New Roman" w:hAnsi="Times New Roman" w:cs="Times New Roman"/>
          <w:sz w:val="24"/>
          <w:szCs w:val="24"/>
        </w:rPr>
        <w:t xml:space="preserve"> Nacional</w:t>
      </w:r>
      <w:r w:rsidR="00835544">
        <w:rPr>
          <w:rFonts w:ascii="Times New Roman" w:hAnsi="Times New Roman" w:cs="Times New Roman"/>
          <w:sz w:val="24"/>
          <w:szCs w:val="24"/>
        </w:rPr>
        <w:t>.</w:t>
      </w:r>
    </w:p>
    <w:p w:rsidR="00170CFE" w:rsidRDefault="00170CFE" w:rsidP="00EB38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FFC" w:rsidRPr="00AF7A90" w:rsidRDefault="0026761D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>3. Perspectivas para o</w:t>
      </w:r>
      <w:r w:rsidR="00932F2B">
        <w:rPr>
          <w:rFonts w:ascii="Times New Roman" w:hAnsi="Times New Roman" w:cs="Times New Roman"/>
          <w:b/>
          <w:sz w:val="24"/>
          <w:szCs w:val="24"/>
        </w:rPr>
        <w:t xml:space="preserve"> mercado</w:t>
      </w:r>
      <w:r w:rsidR="006D4FFC" w:rsidRPr="00AF7A90">
        <w:rPr>
          <w:rFonts w:ascii="Times New Roman" w:hAnsi="Times New Roman" w:cs="Times New Roman"/>
          <w:b/>
          <w:sz w:val="24"/>
          <w:szCs w:val="24"/>
        </w:rPr>
        <w:t xml:space="preserve"> de produtos </w:t>
      </w:r>
      <w:proofErr w:type="spellStart"/>
      <w:r w:rsidR="006D4FFC" w:rsidRPr="00AF7A90">
        <w:rPr>
          <w:rFonts w:ascii="Times New Roman" w:hAnsi="Times New Roman" w:cs="Times New Roman"/>
          <w:b/>
          <w:sz w:val="24"/>
          <w:szCs w:val="24"/>
        </w:rPr>
        <w:t>oleagionosos</w:t>
      </w:r>
      <w:proofErr w:type="spellEnd"/>
    </w:p>
    <w:p w:rsidR="0069201B" w:rsidRDefault="0069201B" w:rsidP="006C7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visto na seção anterior, a soja é a principal fonte de matéria prima para a produção do biodiesel brasileiro. Apesar de ser popularmente classificada entre os grãos oleaginosos, a soja</w:t>
      </w:r>
      <w:r w:rsidR="001976DF">
        <w:rPr>
          <w:rFonts w:ascii="Times New Roman" w:hAnsi="Times New Roman" w:cs="Times New Roman"/>
          <w:sz w:val="24"/>
          <w:szCs w:val="24"/>
        </w:rPr>
        <w:t xml:space="preserve"> tem</w:t>
      </w:r>
      <w:r w:rsidR="00E6562D">
        <w:rPr>
          <w:rFonts w:ascii="Times New Roman" w:hAnsi="Times New Roman" w:cs="Times New Roman"/>
          <w:sz w:val="24"/>
          <w:szCs w:val="24"/>
        </w:rPr>
        <w:t xml:space="preserve"> em sua composição física média entre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2E5" w:rsidRPr="009813F6">
        <w:rPr>
          <w:rFonts w:ascii="Times New Roman" w:hAnsi="Times New Roman" w:cs="Times New Roman"/>
          <w:sz w:val="24"/>
          <w:szCs w:val="24"/>
        </w:rPr>
        <w:t>78</w:t>
      </w:r>
      <w:r w:rsidR="00E6562D">
        <w:rPr>
          <w:rFonts w:ascii="Times New Roman" w:hAnsi="Times New Roman" w:cs="Times New Roman"/>
          <w:sz w:val="24"/>
          <w:szCs w:val="24"/>
        </w:rPr>
        <w:t>-79%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 de farelo protéico e </w:t>
      </w:r>
      <w:r w:rsidR="00E6562D">
        <w:rPr>
          <w:rFonts w:ascii="Times New Roman" w:hAnsi="Times New Roman" w:cs="Times New Roman"/>
          <w:sz w:val="24"/>
          <w:szCs w:val="24"/>
        </w:rPr>
        <w:t>18-</w:t>
      </w:r>
      <w:r w:rsidR="001B12E5" w:rsidRPr="009813F6">
        <w:rPr>
          <w:rFonts w:ascii="Times New Roman" w:hAnsi="Times New Roman" w:cs="Times New Roman"/>
          <w:sz w:val="24"/>
          <w:szCs w:val="24"/>
        </w:rPr>
        <w:t>19% de óleo</w:t>
      </w:r>
      <w:r w:rsidR="00E6562D">
        <w:rPr>
          <w:rFonts w:ascii="Times New Roman" w:hAnsi="Times New Roman" w:cs="Times New Roman"/>
          <w:sz w:val="24"/>
          <w:szCs w:val="24"/>
        </w:rPr>
        <w:t xml:space="preserve"> (OIL WORLD, 1999, p. 23)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Tal composição implica que, sob </w:t>
      </w:r>
      <w:r w:rsidR="00DA7985">
        <w:rPr>
          <w:rFonts w:ascii="Times New Roman" w:hAnsi="Times New Roman" w:cs="Times New Roman"/>
          <w:sz w:val="24"/>
          <w:szCs w:val="24"/>
        </w:rPr>
        <w:t>o prisma econômico, as decisões de plantio e processamento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 </w:t>
      </w:r>
      <w:r w:rsidR="00DA7985">
        <w:rPr>
          <w:rFonts w:ascii="Times New Roman" w:hAnsi="Times New Roman" w:cs="Times New Roman"/>
          <w:sz w:val="24"/>
          <w:szCs w:val="24"/>
        </w:rPr>
        <w:t xml:space="preserve">não são tomadas apenas 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em função </w:t>
      </w:r>
      <w:r w:rsidR="00E6562D">
        <w:rPr>
          <w:rFonts w:ascii="Times New Roman" w:hAnsi="Times New Roman" w:cs="Times New Roman"/>
          <w:sz w:val="24"/>
          <w:szCs w:val="24"/>
        </w:rPr>
        <w:t xml:space="preserve">da demanda por óleo de soja para consumo humano ou produção de 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biodiesel. </w:t>
      </w:r>
    </w:p>
    <w:p w:rsidR="00716930" w:rsidRPr="008D7BBD" w:rsidRDefault="0069201B" w:rsidP="004403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Amaral (2009</w:t>
      </w:r>
      <w:r w:rsidR="008D7BBD">
        <w:rPr>
          <w:rFonts w:ascii="Times New Roman" w:hAnsi="Times New Roman" w:cs="Times New Roman"/>
          <w:sz w:val="24"/>
          <w:szCs w:val="24"/>
        </w:rPr>
        <w:t>, p. 6</w:t>
      </w:r>
      <w:r>
        <w:rPr>
          <w:rFonts w:ascii="Times New Roman" w:hAnsi="Times New Roman" w:cs="Times New Roman"/>
          <w:sz w:val="24"/>
          <w:szCs w:val="24"/>
        </w:rPr>
        <w:t>), é</w:t>
      </w:r>
      <w:r w:rsidR="001B12E5" w:rsidRPr="009813F6">
        <w:rPr>
          <w:rFonts w:ascii="Times New Roman" w:hAnsi="Times New Roman" w:cs="Times New Roman"/>
          <w:sz w:val="24"/>
          <w:szCs w:val="24"/>
        </w:rPr>
        <w:t xml:space="preserve"> um equívoco imaginar que o setor privado toma decisões para apenas 1/5 de um produto e deixa outros 4/5, correspondentes ao farelo, sem mercado definido.</w:t>
      </w:r>
      <w:r w:rsidR="001B1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Em realidade, </w:t>
      </w:r>
      <w:r w:rsidR="002A10A4">
        <w:rPr>
          <w:rFonts w:ascii="Times New Roman" w:hAnsi="Times New Roman" w:cs="Times New Roman"/>
          <w:sz w:val="24"/>
          <w:szCs w:val="24"/>
        </w:rPr>
        <w:t xml:space="preserve">o farelo </w:t>
      </w:r>
      <w:r w:rsidR="00215B78">
        <w:rPr>
          <w:rFonts w:ascii="Times New Roman" w:hAnsi="Times New Roman" w:cs="Times New Roman"/>
          <w:sz w:val="24"/>
          <w:szCs w:val="24"/>
        </w:rPr>
        <w:t xml:space="preserve">protéico </w:t>
      </w:r>
      <w:r w:rsidR="002A10A4">
        <w:rPr>
          <w:rFonts w:ascii="Times New Roman" w:hAnsi="Times New Roman" w:cs="Times New Roman"/>
          <w:sz w:val="24"/>
          <w:szCs w:val="24"/>
        </w:rPr>
        <w:t>é o</w:t>
      </w:r>
      <w:r w:rsidR="003C1217">
        <w:rPr>
          <w:rFonts w:ascii="Times New Roman" w:hAnsi="Times New Roman" w:cs="Times New Roman"/>
          <w:sz w:val="24"/>
          <w:szCs w:val="24"/>
        </w:rPr>
        <w:t xml:space="preserve"> principal</w:t>
      </w:r>
      <w:r w:rsidR="002A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10A4" w:rsidRPr="002A10A4">
        <w:rPr>
          <w:rFonts w:ascii="Times New Roman" w:hAnsi="Times New Roman" w:cs="Times New Roman"/>
          <w:i/>
          <w:sz w:val="24"/>
          <w:szCs w:val="24"/>
        </w:rPr>
        <w:t>driver</w:t>
      </w:r>
      <w:proofErr w:type="spellEnd"/>
      <w:r w:rsidR="002A10A4">
        <w:rPr>
          <w:rFonts w:ascii="Times New Roman" w:hAnsi="Times New Roman" w:cs="Times New Roman"/>
          <w:sz w:val="24"/>
          <w:szCs w:val="24"/>
        </w:rPr>
        <w:t xml:space="preserve"> do mercado da soja. Assim, as decisões de produção e processamento da oleaginosa </w:t>
      </w:r>
      <w:r w:rsidR="00001798">
        <w:rPr>
          <w:rFonts w:ascii="Times New Roman" w:hAnsi="Times New Roman" w:cs="Times New Roman"/>
          <w:sz w:val="24"/>
          <w:szCs w:val="24"/>
        </w:rPr>
        <w:t>estão condicionadas à</w:t>
      </w:r>
      <w:r w:rsidR="008E5A6A" w:rsidRPr="00AF7A90">
        <w:rPr>
          <w:rFonts w:ascii="Times New Roman" w:hAnsi="Times New Roman" w:cs="Times New Roman"/>
          <w:sz w:val="24"/>
          <w:szCs w:val="24"/>
        </w:rPr>
        <w:t xml:space="preserve"> existência de mercado (interno ou externo) para esse produto</w:t>
      </w:r>
      <w:r w:rsidR="002A10A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5B78" w:rsidRPr="008D7BBD">
        <w:rPr>
          <w:rFonts w:ascii="Times New Roman" w:hAnsi="Times New Roman" w:cs="Times New Roman"/>
          <w:sz w:val="24"/>
          <w:szCs w:val="24"/>
        </w:rPr>
        <w:t xml:space="preserve">Uma publicação da </w:t>
      </w:r>
      <w:r w:rsidR="008D7BBD" w:rsidRPr="008D7BBD">
        <w:rPr>
          <w:rFonts w:ascii="Times New Roman" w:hAnsi="Times New Roman" w:cs="Times New Roman"/>
          <w:sz w:val="24"/>
          <w:szCs w:val="24"/>
        </w:rPr>
        <w:t>Conferência das Nações Unidas sobre Comércio e Desenvolvimento</w:t>
      </w:r>
      <w:r w:rsidR="008D7BBD">
        <w:rPr>
          <w:rFonts w:ascii="Times New Roman" w:hAnsi="Times New Roman" w:cs="Times New Roman"/>
          <w:sz w:val="24"/>
          <w:szCs w:val="24"/>
        </w:rPr>
        <w:t xml:space="preserve"> – UNCTAD </w:t>
      </w:r>
      <w:r w:rsidR="00215B78" w:rsidRPr="008D7BBD">
        <w:rPr>
          <w:rFonts w:ascii="Times New Roman" w:hAnsi="Times New Roman" w:cs="Times New Roman"/>
          <w:sz w:val="24"/>
          <w:szCs w:val="24"/>
        </w:rPr>
        <w:t>(1990, p.45) já dizia</w:t>
      </w:r>
      <w:r w:rsidR="00716930" w:rsidRPr="008D7BBD">
        <w:rPr>
          <w:rFonts w:ascii="Times New Roman" w:hAnsi="Times New Roman" w:cs="Times New Roman"/>
          <w:sz w:val="24"/>
          <w:szCs w:val="24"/>
        </w:rPr>
        <w:t>:</w:t>
      </w:r>
    </w:p>
    <w:p w:rsidR="00716930" w:rsidRPr="008D7BBD" w:rsidRDefault="00716930" w:rsidP="00440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B78" w:rsidRPr="00D843F6" w:rsidRDefault="00215B78" w:rsidP="004403DB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6C181C">
        <w:rPr>
          <w:rFonts w:ascii="Times New Roman" w:hAnsi="Times New Roman" w:cs="Times New Roman"/>
          <w:sz w:val="20"/>
          <w:szCs w:val="20"/>
        </w:rPr>
        <w:t xml:space="preserve">(...) </w:t>
      </w:r>
      <w:r w:rsidR="00D843F6" w:rsidRPr="00D843F6">
        <w:rPr>
          <w:rFonts w:ascii="Times New Roman" w:hAnsi="Times New Roman" w:cs="Times New Roman"/>
          <w:sz w:val="20"/>
          <w:szCs w:val="20"/>
        </w:rPr>
        <w:t>Sempre quando os preços do óleo estão altos e os preços do farelo estão relativamente baixos (como em 1984), o farelo responde por mais da metade do valo</w:t>
      </w:r>
      <w:r w:rsidR="00D843F6">
        <w:rPr>
          <w:rFonts w:ascii="Times New Roman" w:hAnsi="Times New Roman" w:cs="Times New Roman"/>
          <w:sz w:val="20"/>
          <w:szCs w:val="20"/>
        </w:rPr>
        <w:t xml:space="preserve">r do resultado do esmagamento. </w:t>
      </w:r>
      <w:r w:rsidR="00D843F6" w:rsidRPr="00D843F6">
        <w:rPr>
          <w:rFonts w:ascii="Times New Roman" w:hAnsi="Times New Roman" w:cs="Times New Roman"/>
          <w:sz w:val="20"/>
          <w:szCs w:val="20"/>
        </w:rPr>
        <w:t>A demanda global da soja é</w:t>
      </w:r>
      <w:proofErr w:type="gramStart"/>
      <w:r w:rsidR="00D843F6" w:rsidRPr="00D843F6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D843F6" w:rsidRPr="00D843F6">
        <w:rPr>
          <w:rFonts w:ascii="Times New Roman" w:hAnsi="Times New Roman" w:cs="Times New Roman"/>
          <w:sz w:val="20"/>
          <w:szCs w:val="20"/>
        </w:rPr>
        <w:t xml:space="preserve">portanto largamente dependente da demanda por farelo utilizado como ração, que </w:t>
      </w:r>
      <w:r w:rsidR="00D843F6">
        <w:rPr>
          <w:rFonts w:ascii="Times New Roman" w:hAnsi="Times New Roman" w:cs="Times New Roman"/>
          <w:sz w:val="20"/>
          <w:szCs w:val="20"/>
        </w:rPr>
        <w:t xml:space="preserve">por sua vez </w:t>
      </w:r>
      <w:r w:rsidR="00D843F6" w:rsidRPr="00D843F6">
        <w:rPr>
          <w:rFonts w:ascii="Times New Roman" w:hAnsi="Times New Roman" w:cs="Times New Roman"/>
          <w:sz w:val="20"/>
          <w:szCs w:val="20"/>
        </w:rPr>
        <w:t>é sustentada pe</w:t>
      </w:r>
      <w:r w:rsidR="00D843F6">
        <w:rPr>
          <w:rFonts w:ascii="Times New Roman" w:hAnsi="Times New Roman" w:cs="Times New Roman"/>
          <w:sz w:val="20"/>
          <w:szCs w:val="20"/>
        </w:rPr>
        <w:t xml:space="preserve">la demanda por produtos derivados da produção animal (leite e carne). </w:t>
      </w:r>
      <w:r w:rsidR="00D843F6" w:rsidRPr="00D843F6">
        <w:rPr>
          <w:rFonts w:ascii="Times New Roman" w:hAnsi="Times New Roman" w:cs="Times New Roman"/>
          <w:sz w:val="20"/>
          <w:szCs w:val="20"/>
        </w:rPr>
        <w:t>O crescimento da demanda por carne em geral e por ca</w:t>
      </w:r>
      <w:r w:rsidR="00D843F6">
        <w:rPr>
          <w:rFonts w:ascii="Times New Roman" w:hAnsi="Times New Roman" w:cs="Times New Roman"/>
          <w:sz w:val="20"/>
          <w:szCs w:val="20"/>
        </w:rPr>
        <w:t>r</w:t>
      </w:r>
      <w:r w:rsidR="00D843F6" w:rsidRPr="00D843F6">
        <w:rPr>
          <w:rFonts w:ascii="Times New Roman" w:hAnsi="Times New Roman" w:cs="Times New Roman"/>
          <w:sz w:val="20"/>
          <w:szCs w:val="20"/>
        </w:rPr>
        <w:t xml:space="preserve">ne branca nos países industrializados em particular tem aumentado a demanda por farelo de </w:t>
      </w:r>
      <w:r w:rsidR="00D843F6">
        <w:rPr>
          <w:rFonts w:ascii="Times New Roman" w:hAnsi="Times New Roman" w:cs="Times New Roman"/>
          <w:sz w:val="20"/>
          <w:szCs w:val="20"/>
        </w:rPr>
        <w:t>soja, que é o ingrediente básico para produção da ração.</w:t>
      </w:r>
      <w:r w:rsidRPr="00D843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6930" w:rsidRPr="00D843F6" w:rsidRDefault="001B12E5" w:rsidP="0044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DFE" w:rsidRDefault="00215B78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</w:t>
      </w:r>
      <w:r w:rsidR="003C1217">
        <w:rPr>
          <w:rFonts w:ascii="Times New Roman" w:hAnsi="Times New Roman" w:cs="Times New Roman"/>
          <w:sz w:val="24"/>
          <w:szCs w:val="24"/>
        </w:rPr>
        <w:t xml:space="preserve">, é fundamental </w:t>
      </w:r>
      <w:r w:rsidR="00F06D7E">
        <w:rPr>
          <w:rFonts w:ascii="Times New Roman" w:hAnsi="Times New Roman" w:cs="Times New Roman"/>
          <w:sz w:val="24"/>
          <w:szCs w:val="24"/>
        </w:rPr>
        <w:t>compreender</w:t>
      </w:r>
      <w:r w:rsidR="003C1217">
        <w:rPr>
          <w:rFonts w:ascii="Times New Roman" w:hAnsi="Times New Roman" w:cs="Times New Roman"/>
          <w:sz w:val="24"/>
          <w:szCs w:val="24"/>
        </w:rPr>
        <w:t xml:space="preserve"> as tendências globais de produção e consumo do farelo</w:t>
      </w:r>
      <w:r>
        <w:rPr>
          <w:rFonts w:ascii="Times New Roman" w:hAnsi="Times New Roman" w:cs="Times New Roman"/>
          <w:sz w:val="24"/>
          <w:szCs w:val="24"/>
        </w:rPr>
        <w:t xml:space="preserve"> de soja</w:t>
      </w:r>
      <w:r w:rsidR="003C1217">
        <w:rPr>
          <w:rFonts w:ascii="Times New Roman" w:hAnsi="Times New Roman" w:cs="Times New Roman"/>
          <w:sz w:val="24"/>
          <w:szCs w:val="24"/>
        </w:rPr>
        <w:t xml:space="preserve"> para </w:t>
      </w:r>
      <w:r w:rsidR="00F06D7E">
        <w:rPr>
          <w:rFonts w:ascii="Times New Roman" w:hAnsi="Times New Roman" w:cs="Times New Roman"/>
          <w:sz w:val="24"/>
          <w:szCs w:val="24"/>
        </w:rPr>
        <w:t>identificar</w:t>
      </w:r>
      <w:r w:rsidR="003C1217">
        <w:rPr>
          <w:rFonts w:ascii="Times New Roman" w:hAnsi="Times New Roman" w:cs="Times New Roman"/>
          <w:sz w:val="24"/>
          <w:szCs w:val="24"/>
        </w:rPr>
        <w:t xml:space="preserve"> os li</w:t>
      </w:r>
      <w:r>
        <w:rPr>
          <w:rFonts w:ascii="Times New Roman" w:hAnsi="Times New Roman" w:cs="Times New Roman"/>
          <w:sz w:val="24"/>
          <w:szCs w:val="24"/>
        </w:rPr>
        <w:t>mites de produção do biodiesel brasileiro</w:t>
      </w:r>
      <w:r w:rsidR="003C1217">
        <w:rPr>
          <w:rFonts w:ascii="Times New Roman" w:hAnsi="Times New Roman" w:cs="Times New Roman"/>
          <w:sz w:val="24"/>
          <w:szCs w:val="24"/>
        </w:rPr>
        <w:t xml:space="preserve"> a partir dessa fonte</w:t>
      </w:r>
      <w:r>
        <w:rPr>
          <w:rFonts w:ascii="Times New Roman" w:hAnsi="Times New Roman" w:cs="Times New Roman"/>
          <w:sz w:val="24"/>
          <w:szCs w:val="24"/>
        </w:rPr>
        <w:t xml:space="preserve"> de matéria prima</w:t>
      </w:r>
      <w:r w:rsidR="003C12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DFE">
        <w:rPr>
          <w:rFonts w:ascii="Times New Roman" w:hAnsi="Times New Roman" w:cs="Times New Roman"/>
          <w:sz w:val="24"/>
          <w:szCs w:val="24"/>
        </w:rPr>
        <w:t>Dado que o farelo de soja é a principal fonte protéica utilizada para compor a ração animal de frangos e suínos</w:t>
      </w:r>
      <w:r w:rsidR="00F90A78">
        <w:rPr>
          <w:rFonts w:ascii="Times New Roman" w:hAnsi="Times New Roman" w:cs="Times New Roman"/>
          <w:sz w:val="24"/>
          <w:szCs w:val="24"/>
        </w:rPr>
        <w:t xml:space="preserve"> (conversão de </w:t>
      </w:r>
      <w:r w:rsidR="00F90A78">
        <w:rPr>
          <w:rFonts w:ascii="Times New Roman" w:hAnsi="Times New Roman" w:cs="Times New Roman"/>
          <w:sz w:val="24"/>
          <w:szCs w:val="24"/>
        </w:rPr>
        <w:lastRenderedPageBreak/>
        <w:t>proteína vegetal em proteína animal para a alimentação humana)</w:t>
      </w:r>
      <w:r w:rsidR="00DD7DFE">
        <w:rPr>
          <w:rFonts w:ascii="Times New Roman" w:hAnsi="Times New Roman" w:cs="Times New Roman"/>
          <w:sz w:val="24"/>
          <w:szCs w:val="24"/>
        </w:rPr>
        <w:t>, faz-se necessário estudar esse</w:t>
      </w:r>
      <w:r w:rsidR="00F06D7E">
        <w:rPr>
          <w:rFonts w:ascii="Times New Roman" w:hAnsi="Times New Roman" w:cs="Times New Roman"/>
          <w:sz w:val="24"/>
          <w:szCs w:val="24"/>
        </w:rPr>
        <w:t>s</w:t>
      </w:r>
      <w:r w:rsidR="00DD7DFE">
        <w:rPr>
          <w:rFonts w:ascii="Times New Roman" w:hAnsi="Times New Roman" w:cs="Times New Roman"/>
          <w:sz w:val="24"/>
          <w:szCs w:val="24"/>
        </w:rPr>
        <w:t xml:space="preserve"> mercado</w:t>
      </w:r>
      <w:r w:rsidR="00F06D7E">
        <w:rPr>
          <w:rFonts w:ascii="Times New Roman" w:hAnsi="Times New Roman" w:cs="Times New Roman"/>
          <w:sz w:val="24"/>
          <w:szCs w:val="24"/>
        </w:rPr>
        <w:t>s</w:t>
      </w:r>
      <w:r w:rsidR="00DD7D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985" w:rsidRDefault="00BB5C2E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465ED">
        <w:rPr>
          <w:rFonts w:ascii="Times New Roman" w:hAnsi="Times New Roman" w:cs="Times New Roman"/>
          <w:sz w:val="24"/>
          <w:szCs w:val="24"/>
        </w:rPr>
        <w:t xml:space="preserve"> demanda por proteína animal</w:t>
      </w:r>
      <w:r w:rsidR="007D2BBA"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</w:rPr>
        <w:t xml:space="preserve">tradicionalmente </w:t>
      </w:r>
      <w:r w:rsidR="00595823">
        <w:rPr>
          <w:rFonts w:ascii="Times New Roman" w:hAnsi="Times New Roman" w:cs="Times New Roman"/>
          <w:sz w:val="24"/>
          <w:szCs w:val="24"/>
        </w:rPr>
        <w:t>explicada a partir da análise de</w:t>
      </w:r>
      <w:r>
        <w:rPr>
          <w:rFonts w:ascii="Times New Roman" w:hAnsi="Times New Roman" w:cs="Times New Roman"/>
          <w:sz w:val="24"/>
          <w:szCs w:val="24"/>
        </w:rPr>
        <w:t xml:space="preserve"> fatores econômicos (renda</w:t>
      </w:r>
      <w:r w:rsidR="009122D8">
        <w:rPr>
          <w:rFonts w:ascii="Times New Roman" w:hAnsi="Times New Roman" w:cs="Times New Roman"/>
          <w:sz w:val="24"/>
          <w:szCs w:val="24"/>
        </w:rPr>
        <w:t xml:space="preserve"> </w:t>
      </w:r>
      <w:r w:rsidR="009122D8" w:rsidRPr="009122D8">
        <w:rPr>
          <w:rFonts w:ascii="Times New Roman" w:hAnsi="Times New Roman" w:cs="Times New Roman"/>
          <w:i/>
          <w:sz w:val="24"/>
          <w:szCs w:val="24"/>
        </w:rPr>
        <w:t>per capita</w:t>
      </w:r>
      <w:r>
        <w:rPr>
          <w:rFonts w:ascii="Times New Roman" w:hAnsi="Times New Roman" w:cs="Times New Roman"/>
          <w:sz w:val="24"/>
          <w:szCs w:val="24"/>
        </w:rPr>
        <w:t xml:space="preserve"> e preços), demográficos (tamanho</w:t>
      </w:r>
      <w:r w:rsidR="009122D8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2D8">
        <w:rPr>
          <w:rFonts w:ascii="Times New Roman" w:hAnsi="Times New Roman" w:cs="Times New Roman"/>
          <w:sz w:val="24"/>
          <w:szCs w:val="24"/>
        </w:rPr>
        <w:t xml:space="preserve">idade </w:t>
      </w:r>
      <w:r>
        <w:rPr>
          <w:rFonts w:ascii="Times New Roman" w:hAnsi="Times New Roman" w:cs="Times New Roman"/>
          <w:sz w:val="24"/>
          <w:szCs w:val="24"/>
        </w:rPr>
        <w:t>da população</w:t>
      </w:r>
      <w:r w:rsidR="00763CC4">
        <w:rPr>
          <w:rFonts w:ascii="Times New Roman" w:hAnsi="Times New Roman" w:cs="Times New Roman"/>
          <w:sz w:val="24"/>
          <w:szCs w:val="24"/>
        </w:rPr>
        <w:t xml:space="preserve"> e nível de</w:t>
      </w:r>
      <w:r>
        <w:rPr>
          <w:rFonts w:ascii="Times New Roman" w:hAnsi="Times New Roman" w:cs="Times New Roman"/>
          <w:sz w:val="24"/>
          <w:szCs w:val="24"/>
        </w:rPr>
        <w:t xml:space="preserve"> urbanização</w:t>
      </w:r>
      <w:r w:rsidR="009122D8">
        <w:rPr>
          <w:rFonts w:ascii="Times New Roman" w:hAnsi="Times New Roman" w:cs="Times New Roman"/>
          <w:sz w:val="24"/>
          <w:szCs w:val="24"/>
        </w:rPr>
        <w:t xml:space="preserve">) e sociais (educação, preferências, estilo de vida, etc.).  </w:t>
      </w:r>
      <w:r w:rsidR="001A1E7C">
        <w:rPr>
          <w:rFonts w:ascii="Times New Roman" w:hAnsi="Times New Roman" w:cs="Times New Roman"/>
          <w:sz w:val="24"/>
          <w:szCs w:val="24"/>
        </w:rPr>
        <w:t>Nas últimas três décadas, a dieta alimentar da população dos países em desenvolvimento</w:t>
      </w:r>
      <w:r w:rsidR="00DA7985">
        <w:rPr>
          <w:rFonts w:ascii="Times New Roman" w:hAnsi="Times New Roman" w:cs="Times New Roman"/>
          <w:sz w:val="24"/>
          <w:szCs w:val="24"/>
        </w:rPr>
        <w:t xml:space="preserve"> que se beneficiaram</w:t>
      </w:r>
      <w:r w:rsidR="00763CC4">
        <w:rPr>
          <w:rFonts w:ascii="Times New Roman" w:hAnsi="Times New Roman" w:cs="Times New Roman"/>
          <w:sz w:val="24"/>
          <w:szCs w:val="24"/>
        </w:rPr>
        <w:t xml:space="preserve"> da combinação crescimento demográfico, expansão dos níveis de renda e intensificação da urbanização foi radicalmente alterada</w:t>
      </w:r>
      <w:r w:rsidR="001A1E7C">
        <w:rPr>
          <w:rFonts w:ascii="Times New Roman" w:hAnsi="Times New Roman" w:cs="Times New Roman"/>
          <w:sz w:val="24"/>
          <w:szCs w:val="24"/>
        </w:rPr>
        <w:t>. A rápida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2D8">
        <w:rPr>
          <w:rFonts w:ascii="Times New Roman" w:hAnsi="Times New Roman" w:cs="Times New Roman"/>
          <w:sz w:val="24"/>
          <w:szCs w:val="24"/>
        </w:rPr>
        <w:t>substituição de</w:t>
      </w:r>
      <w:r>
        <w:rPr>
          <w:rFonts w:ascii="Times New Roman" w:hAnsi="Times New Roman" w:cs="Times New Roman"/>
          <w:sz w:val="24"/>
          <w:szCs w:val="24"/>
        </w:rPr>
        <w:t xml:space="preserve"> proteína vegetal</w:t>
      </w:r>
      <w:r w:rsidR="007D2B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carnes </w:t>
      </w:r>
      <w:r w:rsidR="001A1E7C">
        <w:rPr>
          <w:rFonts w:ascii="Times New Roman" w:hAnsi="Times New Roman" w:cs="Times New Roman"/>
          <w:sz w:val="24"/>
          <w:szCs w:val="24"/>
        </w:rPr>
        <w:t xml:space="preserve">ocorrida na China </w:t>
      </w:r>
      <w:r w:rsidR="00763CC4">
        <w:rPr>
          <w:rFonts w:ascii="Times New Roman" w:hAnsi="Times New Roman" w:cs="Times New Roman"/>
          <w:sz w:val="24"/>
          <w:szCs w:val="24"/>
        </w:rPr>
        <w:t xml:space="preserve">a partir da década de 1980 </w:t>
      </w:r>
      <w:r w:rsidR="001A1E7C">
        <w:rPr>
          <w:rFonts w:ascii="Times New Roman" w:hAnsi="Times New Roman" w:cs="Times New Roman"/>
          <w:sz w:val="24"/>
          <w:szCs w:val="24"/>
        </w:rPr>
        <w:t>é exemplo disso (</w:t>
      </w:r>
      <w:r w:rsidR="00763CC4">
        <w:rPr>
          <w:rFonts w:ascii="Times New Roman" w:hAnsi="Times New Roman" w:cs="Times New Roman"/>
          <w:sz w:val="24"/>
          <w:szCs w:val="24"/>
        </w:rPr>
        <w:t>LIU e</w:t>
      </w:r>
      <w:r w:rsidR="001A1E7C" w:rsidRPr="001A1E7C">
        <w:rPr>
          <w:rFonts w:ascii="Times New Roman" w:hAnsi="Times New Roman" w:cs="Times New Roman"/>
          <w:sz w:val="24"/>
          <w:szCs w:val="24"/>
        </w:rPr>
        <w:t xml:space="preserve"> D</w:t>
      </w:r>
      <w:r w:rsidR="00763CC4">
        <w:rPr>
          <w:rFonts w:ascii="Times New Roman" w:hAnsi="Times New Roman" w:cs="Times New Roman"/>
          <w:sz w:val="24"/>
          <w:szCs w:val="24"/>
        </w:rPr>
        <w:t>EBLITZ, 2007, p. 14)</w:t>
      </w:r>
      <w:r w:rsidR="001A1E7C">
        <w:rPr>
          <w:rFonts w:ascii="Times New Roman" w:hAnsi="Times New Roman" w:cs="Times New Roman"/>
          <w:sz w:val="24"/>
          <w:szCs w:val="24"/>
        </w:rPr>
        <w:t>.</w:t>
      </w:r>
    </w:p>
    <w:p w:rsidR="007D2BBA" w:rsidRDefault="00423C3B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dados do </w:t>
      </w:r>
      <w:r w:rsidR="00456F44">
        <w:rPr>
          <w:rFonts w:ascii="Times New Roman" w:hAnsi="Times New Roman" w:cs="Times New Roman"/>
          <w:sz w:val="24"/>
          <w:szCs w:val="24"/>
        </w:rPr>
        <w:t xml:space="preserve">Departamento de Agricultura dos Estados Unidos – </w:t>
      </w:r>
      <w:r>
        <w:rPr>
          <w:rFonts w:ascii="Times New Roman" w:hAnsi="Times New Roman" w:cs="Times New Roman"/>
          <w:sz w:val="24"/>
          <w:szCs w:val="24"/>
        </w:rPr>
        <w:t>USDA (2011</w:t>
      </w:r>
      <w:r w:rsidR="00456F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), o</w:t>
      </w:r>
      <w:r w:rsidR="00BF0440">
        <w:rPr>
          <w:rFonts w:ascii="Times New Roman" w:hAnsi="Times New Roman" w:cs="Times New Roman"/>
          <w:sz w:val="24"/>
          <w:szCs w:val="24"/>
        </w:rPr>
        <w:t xml:space="preserve"> consumo </w:t>
      </w:r>
      <w:r w:rsidR="002175DA">
        <w:rPr>
          <w:rFonts w:ascii="Times New Roman" w:hAnsi="Times New Roman" w:cs="Times New Roman"/>
          <w:sz w:val="24"/>
          <w:szCs w:val="24"/>
        </w:rPr>
        <w:t xml:space="preserve">mundial </w:t>
      </w:r>
      <w:r w:rsidR="00BF0440">
        <w:rPr>
          <w:rFonts w:ascii="Times New Roman" w:hAnsi="Times New Roman" w:cs="Times New Roman"/>
          <w:sz w:val="24"/>
          <w:szCs w:val="24"/>
        </w:rPr>
        <w:t xml:space="preserve">de farelo de soja </w:t>
      </w:r>
      <w:r w:rsidR="008D098F">
        <w:rPr>
          <w:rFonts w:ascii="Times New Roman" w:hAnsi="Times New Roman" w:cs="Times New Roman"/>
          <w:sz w:val="24"/>
          <w:szCs w:val="24"/>
        </w:rPr>
        <w:t>utilizado para compor a</w:t>
      </w:r>
      <w:r w:rsidR="00BF0440">
        <w:rPr>
          <w:rFonts w:ascii="Times New Roman" w:hAnsi="Times New Roman" w:cs="Times New Roman"/>
          <w:sz w:val="24"/>
          <w:szCs w:val="24"/>
        </w:rPr>
        <w:t xml:space="preserve"> </w:t>
      </w:r>
      <w:r w:rsidR="008D098F">
        <w:rPr>
          <w:rFonts w:ascii="Times New Roman" w:hAnsi="Times New Roman" w:cs="Times New Roman"/>
          <w:sz w:val="24"/>
          <w:szCs w:val="24"/>
        </w:rPr>
        <w:t>ração</w:t>
      </w:r>
      <w:r w:rsidR="00AF5EE7">
        <w:rPr>
          <w:rFonts w:ascii="Times New Roman" w:hAnsi="Times New Roman" w:cs="Times New Roman"/>
          <w:sz w:val="24"/>
          <w:szCs w:val="24"/>
        </w:rPr>
        <w:t xml:space="preserve"> animal aumentou </w:t>
      </w:r>
      <w:r w:rsidR="00281238">
        <w:rPr>
          <w:rFonts w:ascii="Times New Roman" w:hAnsi="Times New Roman" w:cs="Times New Roman"/>
          <w:sz w:val="24"/>
          <w:szCs w:val="24"/>
        </w:rPr>
        <w:t>145</w:t>
      </w:r>
      <w:r w:rsidR="002175DA">
        <w:rPr>
          <w:rFonts w:ascii="Times New Roman" w:hAnsi="Times New Roman" w:cs="Times New Roman"/>
          <w:sz w:val="24"/>
          <w:szCs w:val="24"/>
        </w:rPr>
        <w:t>%</w:t>
      </w:r>
      <w:r w:rsidR="00281238">
        <w:rPr>
          <w:rFonts w:ascii="Times New Roman" w:hAnsi="Times New Roman" w:cs="Times New Roman"/>
          <w:sz w:val="24"/>
          <w:szCs w:val="24"/>
        </w:rPr>
        <w:t xml:space="preserve"> no período 199</w:t>
      </w:r>
      <w:r w:rsidR="00BF0440">
        <w:rPr>
          <w:rFonts w:ascii="Times New Roman" w:hAnsi="Times New Roman" w:cs="Times New Roman"/>
          <w:sz w:val="24"/>
          <w:szCs w:val="24"/>
        </w:rPr>
        <w:t>0-2010. O fato de a demanda por óleo de soja destinad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0440">
        <w:rPr>
          <w:rFonts w:ascii="Times New Roman" w:hAnsi="Times New Roman" w:cs="Times New Roman"/>
          <w:sz w:val="24"/>
          <w:szCs w:val="24"/>
        </w:rPr>
        <w:t xml:space="preserve"> ao consumo humano ter crescido </w:t>
      </w:r>
      <w:r w:rsidR="0091220F">
        <w:rPr>
          <w:rFonts w:ascii="Times New Roman" w:hAnsi="Times New Roman" w:cs="Times New Roman"/>
          <w:sz w:val="24"/>
          <w:szCs w:val="24"/>
        </w:rPr>
        <w:t>mais lentamente</w:t>
      </w:r>
      <w:r w:rsidR="00281238">
        <w:rPr>
          <w:rFonts w:ascii="Times New Roman" w:hAnsi="Times New Roman" w:cs="Times New Roman"/>
          <w:sz w:val="24"/>
          <w:szCs w:val="24"/>
        </w:rPr>
        <w:t xml:space="preserve"> (127%</w:t>
      </w:r>
      <w:r w:rsidR="002175DA">
        <w:rPr>
          <w:rFonts w:ascii="Times New Roman" w:hAnsi="Times New Roman" w:cs="Times New Roman"/>
          <w:sz w:val="24"/>
          <w:szCs w:val="24"/>
        </w:rPr>
        <w:t>)</w:t>
      </w:r>
      <w:r w:rsidR="00F06D7E">
        <w:rPr>
          <w:rFonts w:ascii="Times New Roman" w:hAnsi="Times New Roman" w:cs="Times New Roman"/>
          <w:sz w:val="24"/>
          <w:szCs w:val="24"/>
        </w:rPr>
        <w:t xml:space="preserve"> que a demanda por farelos protéicos</w:t>
      </w:r>
      <w:r w:rsidR="002175DA">
        <w:rPr>
          <w:rFonts w:ascii="Times New Roman" w:hAnsi="Times New Roman" w:cs="Times New Roman"/>
          <w:sz w:val="24"/>
          <w:szCs w:val="24"/>
        </w:rPr>
        <w:t xml:space="preserve"> </w:t>
      </w:r>
      <w:r w:rsidR="00EC5217">
        <w:rPr>
          <w:rFonts w:ascii="Times New Roman" w:hAnsi="Times New Roman" w:cs="Times New Roman"/>
          <w:sz w:val="24"/>
          <w:szCs w:val="24"/>
        </w:rPr>
        <w:t>criou</w:t>
      </w:r>
      <w:r>
        <w:rPr>
          <w:rFonts w:ascii="Times New Roman" w:hAnsi="Times New Roman" w:cs="Times New Roman"/>
          <w:sz w:val="24"/>
          <w:szCs w:val="24"/>
        </w:rPr>
        <w:t xml:space="preserve"> excedente para o produto, o que permitiu sua utilização para a produção de biodiesel.</w:t>
      </w:r>
      <w:r w:rsidR="00BF0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83C" w:rsidRDefault="00F90A78" w:rsidP="00E60B0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que </w:t>
      </w:r>
      <w:r w:rsidR="00DD7DFE">
        <w:rPr>
          <w:rFonts w:ascii="Times New Roman" w:hAnsi="Times New Roman" w:cs="Times New Roman"/>
          <w:sz w:val="24"/>
          <w:szCs w:val="24"/>
        </w:rPr>
        <w:t>as pro</w:t>
      </w:r>
      <w:r w:rsidR="00E60B08">
        <w:rPr>
          <w:rFonts w:ascii="Times New Roman" w:hAnsi="Times New Roman" w:cs="Times New Roman"/>
          <w:sz w:val="24"/>
          <w:szCs w:val="24"/>
        </w:rPr>
        <w:t xml:space="preserve">jeções </w:t>
      </w:r>
      <w:r w:rsidR="003B342A">
        <w:rPr>
          <w:rFonts w:ascii="Times New Roman" w:hAnsi="Times New Roman" w:cs="Times New Roman"/>
          <w:sz w:val="24"/>
          <w:szCs w:val="24"/>
        </w:rPr>
        <w:t>para os próximos dez anos (2011-2020) do</w:t>
      </w:r>
      <w:r w:rsidR="00E60B08">
        <w:rPr>
          <w:rFonts w:ascii="Times New Roman" w:hAnsi="Times New Roman" w:cs="Times New Roman"/>
          <w:sz w:val="24"/>
          <w:szCs w:val="24"/>
        </w:rPr>
        <w:t xml:space="preserve"> USDA (2011</w:t>
      </w:r>
      <w:r w:rsidR="001B77CA">
        <w:rPr>
          <w:rFonts w:ascii="Times New Roman" w:hAnsi="Times New Roman" w:cs="Times New Roman"/>
          <w:sz w:val="24"/>
          <w:szCs w:val="24"/>
        </w:rPr>
        <w:t>b</w:t>
      </w:r>
      <w:r w:rsidR="00E60B08">
        <w:rPr>
          <w:rFonts w:ascii="Times New Roman" w:hAnsi="Times New Roman" w:cs="Times New Roman"/>
          <w:sz w:val="24"/>
          <w:szCs w:val="24"/>
        </w:rPr>
        <w:t xml:space="preserve">) e da </w:t>
      </w:r>
      <w:r w:rsidR="003B342A" w:rsidRPr="003B342A">
        <w:rPr>
          <w:rFonts w:ascii="Times New Roman" w:hAnsi="Times New Roman" w:cs="Times New Roman"/>
          <w:sz w:val="24"/>
          <w:szCs w:val="24"/>
        </w:rPr>
        <w:t xml:space="preserve">Organização para Cooperação e Desenvolvimento Econômico </w:t>
      </w:r>
      <w:r w:rsidR="003B342A">
        <w:rPr>
          <w:rFonts w:ascii="Times New Roman" w:hAnsi="Times New Roman" w:cs="Times New Roman"/>
          <w:sz w:val="24"/>
          <w:szCs w:val="24"/>
        </w:rPr>
        <w:t xml:space="preserve">– OCDE em parceria com a </w:t>
      </w:r>
      <w:r w:rsidR="00DD7DFE">
        <w:rPr>
          <w:rFonts w:ascii="Times New Roman" w:hAnsi="Times New Roman" w:cs="Times New Roman"/>
          <w:sz w:val="24"/>
          <w:szCs w:val="24"/>
        </w:rPr>
        <w:t xml:space="preserve">FAO (2011) </w:t>
      </w:r>
      <w:r>
        <w:rPr>
          <w:rFonts w:ascii="Times New Roman" w:hAnsi="Times New Roman" w:cs="Times New Roman"/>
          <w:sz w:val="24"/>
          <w:szCs w:val="24"/>
        </w:rPr>
        <w:t>apontem</w:t>
      </w:r>
      <w:r w:rsidR="00DD7DFE">
        <w:rPr>
          <w:rFonts w:ascii="Times New Roman" w:hAnsi="Times New Roman" w:cs="Times New Roman"/>
          <w:sz w:val="24"/>
          <w:szCs w:val="24"/>
        </w:rPr>
        <w:t xml:space="preserve"> para uma desaceleração do crescimento</w:t>
      </w:r>
      <w:r>
        <w:rPr>
          <w:rFonts w:ascii="Times New Roman" w:hAnsi="Times New Roman" w:cs="Times New Roman"/>
          <w:sz w:val="24"/>
          <w:szCs w:val="24"/>
        </w:rPr>
        <w:t xml:space="preserve"> do consumo de carnes no mundo, as </w:t>
      </w:r>
      <w:r w:rsidR="00095447">
        <w:rPr>
          <w:rFonts w:ascii="Times New Roman" w:hAnsi="Times New Roman" w:cs="Times New Roman"/>
          <w:sz w:val="24"/>
          <w:szCs w:val="24"/>
        </w:rPr>
        <w:t xml:space="preserve">principais </w:t>
      </w:r>
      <w:r>
        <w:rPr>
          <w:rFonts w:ascii="Times New Roman" w:hAnsi="Times New Roman" w:cs="Times New Roman"/>
          <w:sz w:val="24"/>
          <w:szCs w:val="24"/>
        </w:rPr>
        <w:t xml:space="preserve">forças que concorreram para o crescimento da demanda por farelos protéicos </w:t>
      </w:r>
      <w:r w:rsidR="00095447">
        <w:rPr>
          <w:rFonts w:ascii="Times New Roman" w:hAnsi="Times New Roman" w:cs="Times New Roman"/>
          <w:sz w:val="24"/>
          <w:szCs w:val="24"/>
        </w:rPr>
        <w:t xml:space="preserve">no passado recente </w:t>
      </w:r>
      <w:r>
        <w:rPr>
          <w:rFonts w:ascii="Times New Roman" w:hAnsi="Times New Roman" w:cs="Times New Roman"/>
          <w:sz w:val="24"/>
          <w:szCs w:val="24"/>
        </w:rPr>
        <w:t>continuarão ativas</w:t>
      </w:r>
      <w:r w:rsidR="005174A9">
        <w:rPr>
          <w:rFonts w:ascii="Times New Roman" w:hAnsi="Times New Roman" w:cs="Times New Roman"/>
          <w:sz w:val="24"/>
          <w:szCs w:val="24"/>
        </w:rPr>
        <w:t xml:space="preserve"> (ONU, 2010</w:t>
      </w:r>
      <w:r w:rsidR="001B77CA">
        <w:rPr>
          <w:rFonts w:ascii="Times New Roman" w:hAnsi="Times New Roman" w:cs="Times New Roman"/>
          <w:sz w:val="24"/>
          <w:szCs w:val="24"/>
        </w:rPr>
        <w:t xml:space="preserve"> e FMI, 2011)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5217">
        <w:rPr>
          <w:rFonts w:ascii="Times New Roman" w:hAnsi="Times New Roman" w:cs="Times New Roman"/>
          <w:sz w:val="24"/>
          <w:szCs w:val="24"/>
        </w:rPr>
        <w:t xml:space="preserve"> </w:t>
      </w:r>
      <w:r w:rsidR="00E60B08" w:rsidRPr="00E60B08">
        <w:rPr>
          <w:rFonts w:ascii="Times New Roman" w:hAnsi="Times New Roman" w:cs="Times New Roman"/>
          <w:sz w:val="24"/>
          <w:szCs w:val="24"/>
        </w:rPr>
        <w:t xml:space="preserve">As </w:t>
      </w:r>
      <w:r w:rsidR="00E60B08">
        <w:rPr>
          <w:rFonts w:ascii="Times New Roman" w:hAnsi="Times New Roman" w:cs="Times New Roman"/>
          <w:sz w:val="24"/>
          <w:szCs w:val="24"/>
        </w:rPr>
        <w:t>estimativas da</w:t>
      </w:r>
      <w:r w:rsidR="00E60B08" w:rsidRPr="00E60B08">
        <w:rPr>
          <w:rFonts w:ascii="Times New Roman" w:hAnsi="Times New Roman" w:cs="Times New Roman"/>
          <w:sz w:val="24"/>
          <w:szCs w:val="24"/>
        </w:rPr>
        <w:t xml:space="preserve"> OCDE-FAO </w:t>
      </w:r>
      <w:r w:rsidR="00E60B08">
        <w:rPr>
          <w:rFonts w:ascii="Times New Roman" w:hAnsi="Times New Roman" w:cs="Times New Roman"/>
          <w:sz w:val="24"/>
          <w:szCs w:val="24"/>
        </w:rPr>
        <w:t xml:space="preserve">(2011) </w:t>
      </w:r>
      <w:r w:rsidR="004F341A">
        <w:rPr>
          <w:rFonts w:ascii="Times New Roman" w:hAnsi="Times New Roman" w:cs="Times New Roman"/>
          <w:sz w:val="24"/>
          <w:szCs w:val="24"/>
        </w:rPr>
        <w:t>sinalizam</w:t>
      </w:r>
      <w:r w:rsidR="000E5AD2">
        <w:rPr>
          <w:rFonts w:ascii="Times New Roman" w:hAnsi="Times New Roman" w:cs="Times New Roman"/>
          <w:sz w:val="24"/>
          <w:szCs w:val="24"/>
        </w:rPr>
        <w:t xml:space="preserve"> </w:t>
      </w:r>
      <w:r w:rsidR="00E60B08">
        <w:rPr>
          <w:rFonts w:ascii="Times New Roman" w:hAnsi="Times New Roman" w:cs="Times New Roman"/>
          <w:sz w:val="24"/>
          <w:szCs w:val="24"/>
        </w:rPr>
        <w:t>um crescimento de 2</w:t>
      </w:r>
      <w:r w:rsidR="00D8185C">
        <w:rPr>
          <w:rFonts w:ascii="Times New Roman" w:hAnsi="Times New Roman" w:cs="Times New Roman"/>
          <w:sz w:val="24"/>
          <w:szCs w:val="24"/>
        </w:rPr>
        <w:t>,3</w:t>
      </w:r>
      <w:r w:rsidR="00E60B08">
        <w:rPr>
          <w:rFonts w:ascii="Times New Roman" w:hAnsi="Times New Roman" w:cs="Times New Roman"/>
          <w:sz w:val="24"/>
          <w:szCs w:val="24"/>
        </w:rPr>
        <w:t>%</w:t>
      </w:r>
      <w:r w:rsidR="00D8185C">
        <w:rPr>
          <w:rFonts w:ascii="Times New Roman" w:hAnsi="Times New Roman" w:cs="Times New Roman"/>
          <w:sz w:val="24"/>
          <w:szCs w:val="24"/>
        </w:rPr>
        <w:t xml:space="preserve"> ao ano</w:t>
      </w:r>
      <w:r w:rsidR="009719D6">
        <w:rPr>
          <w:rFonts w:ascii="Times New Roman" w:hAnsi="Times New Roman" w:cs="Times New Roman"/>
          <w:sz w:val="24"/>
          <w:szCs w:val="24"/>
        </w:rPr>
        <w:t xml:space="preserve"> no consumo de carne</w:t>
      </w:r>
      <w:r w:rsidR="00E60B08">
        <w:rPr>
          <w:rFonts w:ascii="Times New Roman" w:hAnsi="Times New Roman" w:cs="Times New Roman"/>
          <w:sz w:val="24"/>
          <w:szCs w:val="24"/>
        </w:rPr>
        <w:t xml:space="preserve"> de aves e </w:t>
      </w:r>
      <w:r w:rsidR="00D8185C">
        <w:rPr>
          <w:rFonts w:ascii="Times New Roman" w:hAnsi="Times New Roman" w:cs="Times New Roman"/>
          <w:sz w:val="24"/>
          <w:szCs w:val="24"/>
        </w:rPr>
        <w:t xml:space="preserve">de 1,7% ao ano no consumo de carne suína no período 2011-2020. </w:t>
      </w:r>
      <w:r w:rsidR="00E60B08">
        <w:rPr>
          <w:rFonts w:ascii="Times New Roman" w:hAnsi="Times New Roman" w:cs="Times New Roman"/>
          <w:sz w:val="24"/>
          <w:szCs w:val="24"/>
        </w:rPr>
        <w:t xml:space="preserve"> </w:t>
      </w:r>
      <w:r w:rsidR="005F4311">
        <w:rPr>
          <w:rFonts w:ascii="Times New Roman" w:hAnsi="Times New Roman" w:cs="Times New Roman"/>
          <w:sz w:val="24"/>
          <w:szCs w:val="24"/>
        </w:rPr>
        <w:t>Como resultado, s</w:t>
      </w:r>
      <w:r w:rsidR="00D8185C">
        <w:rPr>
          <w:rFonts w:ascii="Times New Roman" w:hAnsi="Times New Roman" w:cs="Times New Roman"/>
          <w:sz w:val="24"/>
          <w:szCs w:val="24"/>
        </w:rPr>
        <w:t xml:space="preserve">egundo </w:t>
      </w:r>
      <w:r w:rsidR="00A30BB7">
        <w:rPr>
          <w:rFonts w:ascii="Times New Roman" w:hAnsi="Times New Roman" w:cs="Times New Roman"/>
          <w:sz w:val="24"/>
          <w:szCs w:val="24"/>
        </w:rPr>
        <w:t>a publicação</w:t>
      </w:r>
      <w:r w:rsidR="00D8185C">
        <w:rPr>
          <w:rFonts w:ascii="Times New Roman" w:hAnsi="Times New Roman" w:cs="Times New Roman"/>
          <w:sz w:val="24"/>
          <w:szCs w:val="24"/>
        </w:rPr>
        <w:t xml:space="preserve">, o consumo de farelos protéicos será incrementado em aproximadamente 43,5 milhões de toneladas, o que representa um aumento de </w:t>
      </w:r>
      <w:r w:rsidR="00D8185C" w:rsidRPr="003B342A">
        <w:rPr>
          <w:rFonts w:ascii="Times New Roman" w:hAnsi="Times New Roman" w:cs="Times New Roman"/>
          <w:sz w:val="24"/>
          <w:szCs w:val="24"/>
        </w:rPr>
        <w:t>17%</w:t>
      </w:r>
      <w:r w:rsidR="00D8185C">
        <w:rPr>
          <w:rFonts w:ascii="Times New Roman" w:hAnsi="Times New Roman" w:cs="Times New Roman"/>
          <w:sz w:val="24"/>
          <w:szCs w:val="24"/>
        </w:rPr>
        <w:t xml:space="preserve"> em relação ao demandado em 2010. </w:t>
      </w:r>
    </w:p>
    <w:p w:rsidR="00D4548B" w:rsidRDefault="00A24095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F4311">
        <w:rPr>
          <w:rFonts w:ascii="Times New Roman" w:hAnsi="Times New Roman" w:cs="Times New Roman"/>
          <w:sz w:val="24"/>
          <w:szCs w:val="24"/>
        </w:rPr>
        <w:t xml:space="preserve">onfirmadas </w:t>
      </w:r>
      <w:r>
        <w:rPr>
          <w:rFonts w:ascii="Times New Roman" w:hAnsi="Times New Roman" w:cs="Times New Roman"/>
          <w:sz w:val="24"/>
          <w:szCs w:val="24"/>
        </w:rPr>
        <w:t>essas expectativas</w:t>
      </w:r>
      <w:r w:rsidR="00AF5EE7">
        <w:rPr>
          <w:rFonts w:ascii="Times New Roman" w:hAnsi="Times New Roman" w:cs="Times New Roman"/>
          <w:sz w:val="24"/>
          <w:szCs w:val="24"/>
        </w:rPr>
        <w:t>,</w:t>
      </w:r>
      <w:r w:rsidR="005F4311">
        <w:rPr>
          <w:rFonts w:ascii="Times New Roman" w:hAnsi="Times New Roman" w:cs="Times New Roman"/>
          <w:sz w:val="24"/>
          <w:szCs w:val="24"/>
        </w:rPr>
        <w:t xml:space="preserve"> será necessário expandir </w:t>
      </w:r>
      <w:r>
        <w:rPr>
          <w:rFonts w:ascii="Times New Roman" w:hAnsi="Times New Roman" w:cs="Times New Roman"/>
          <w:sz w:val="24"/>
          <w:szCs w:val="24"/>
        </w:rPr>
        <w:t xml:space="preserve">significativamente </w:t>
      </w:r>
      <w:r w:rsidR="005F4311">
        <w:rPr>
          <w:rFonts w:ascii="Times New Roman" w:hAnsi="Times New Roman" w:cs="Times New Roman"/>
          <w:sz w:val="24"/>
          <w:szCs w:val="24"/>
        </w:rPr>
        <w:t xml:space="preserve">a produção mundial </w:t>
      </w:r>
      <w:r w:rsidR="00A0104A">
        <w:rPr>
          <w:rFonts w:ascii="Times New Roman" w:hAnsi="Times New Roman" w:cs="Times New Roman"/>
          <w:sz w:val="24"/>
          <w:szCs w:val="24"/>
        </w:rPr>
        <w:t>de oleaginosas</w:t>
      </w:r>
      <w:r w:rsidR="005F4311">
        <w:rPr>
          <w:rFonts w:ascii="Times New Roman" w:hAnsi="Times New Roman" w:cs="Times New Roman"/>
          <w:sz w:val="24"/>
          <w:szCs w:val="24"/>
        </w:rPr>
        <w:t>. O Brasil</w:t>
      </w:r>
      <w:r w:rsidR="00082870">
        <w:rPr>
          <w:rFonts w:ascii="Times New Roman" w:hAnsi="Times New Roman" w:cs="Times New Roman"/>
          <w:sz w:val="24"/>
          <w:szCs w:val="24"/>
        </w:rPr>
        <w:t xml:space="preserve"> e a Argentina serão os países que</w:t>
      </w:r>
      <w:r w:rsidR="00A0104A">
        <w:rPr>
          <w:rFonts w:ascii="Times New Roman" w:hAnsi="Times New Roman" w:cs="Times New Roman"/>
          <w:sz w:val="24"/>
          <w:szCs w:val="24"/>
        </w:rPr>
        <w:t xml:space="preserve"> </w:t>
      </w:r>
      <w:r w:rsidR="00082870">
        <w:rPr>
          <w:rFonts w:ascii="Times New Roman" w:hAnsi="Times New Roman" w:cs="Times New Roman"/>
          <w:sz w:val="24"/>
          <w:szCs w:val="24"/>
        </w:rPr>
        <w:t>responderão</w:t>
      </w:r>
      <w:r w:rsidR="00A0104A">
        <w:rPr>
          <w:rFonts w:ascii="Times New Roman" w:hAnsi="Times New Roman" w:cs="Times New Roman"/>
          <w:sz w:val="24"/>
          <w:szCs w:val="24"/>
        </w:rPr>
        <w:t xml:space="preserve"> pela maior parcela do aumento da produção </w:t>
      </w:r>
      <w:r w:rsidR="00B909B6">
        <w:rPr>
          <w:rFonts w:ascii="Times New Roman" w:hAnsi="Times New Roman" w:cs="Times New Roman"/>
          <w:sz w:val="24"/>
          <w:szCs w:val="24"/>
        </w:rPr>
        <w:t>de soja</w:t>
      </w:r>
      <w:r w:rsidR="005F4311">
        <w:rPr>
          <w:rFonts w:ascii="Times New Roman" w:hAnsi="Times New Roman" w:cs="Times New Roman"/>
          <w:sz w:val="24"/>
          <w:szCs w:val="24"/>
        </w:rPr>
        <w:t>, segundo o USDA</w:t>
      </w:r>
      <w:r w:rsidR="00082870">
        <w:rPr>
          <w:rFonts w:ascii="Times New Roman" w:hAnsi="Times New Roman" w:cs="Times New Roman"/>
          <w:sz w:val="24"/>
          <w:szCs w:val="24"/>
        </w:rPr>
        <w:t xml:space="preserve"> (2011</w:t>
      </w:r>
      <w:r w:rsidR="009739C0">
        <w:rPr>
          <w:rFonts w:ascii="Times New Roman" w:hAnsi="Times New Roman" w:cs="Times New Roman"/>
          <w:sz w:val="24"/>
          <w:szCs w:val="24"/>
        </w:rPr>
        <w:t>b</w:t>
      </w:r>
      <w:r w:rsidR="00082870">
        <w:rPr>
          <w:rFonts w:ascii="Times New Roman" w:hAnsi="Times New Roman" w:cs="Times New Roman"/>
          <w:sz w:val="24"/>
          <w:szCs w:val="24"/>
        </w:rPr>
        <w:t>)</w:t>
      </w:r>
      <w:r w:rsidR="00A0104A">
        <w:rPr>
          <w:rFonts w:ascii="Times New Roman" w:hAnsi="Times New Roman" w:cs="Times New Roman"/>
          <w:sz w:val="24"/>
          <w:szCs w:val="24"/>
        </w:rPr>
        <w:t>.</w:t>
      </w:r>
      <w:r w:rsidR="005F4311">
        <w:rPr>
          <w:rFonts w:ascii="Times New Roman" w:hAnsi="Times New Roman" w:cs="Times New Roman"/>
          <w:sz w:val="24"/>
          <w:szCs w:val="24"/>
        </w:rPr>
        <w:t xml:space="preserve"> </w:t>
      </w:r>
      <w:r w:rsidR="00082870">
        <w:rPr>
          <w:rFonts w:ascii="Times New Roman" w:hAnsi="Times New Roman" w:cs="Times New Roman"/>
          <w:sz w:val="24"/>
          <w:szCs w:val="24"/>
        </w:rPr>
        <w:t xml:space="preserve">Porém, para os interesses da indústria </w:t>
      </w:r>
      <w:r w:rsidR="00B909B6">
        <w:rPr>
          <w:rFonts w:ascii="Times New Roman" w:hAnsi="Times New Roman" w:cs="Times New Roman"/>
          <w:sz w:val="24"/>
          <w:szCs w:val="24"/>
        </w:rPr>
        <w:t xml:space="preserve">brasileira </w:t>
      </w:r>
      <w:r w:rsidR="00082870">
        <w:rPr>
          <w:rFonts w:ascii="Times New Roman" w:hAnsi="Times New Roman" w:cs="Times New Roman"/>
          <w:sz w:val="24"/>
          <w:szCs w:val="24"/>
        </w:rPr>
        <w:t>do</w:t>
      </w:r>
      <w:r w:rsidR="00D815E6">
        <w:rPr>
          <w:rFonts w:ascii="Times New Roman" w:hAnsi="Times New Roman" w:cs="Times New Roman"/>
          <w:sz w:val="24"/>
          <w:szCs w:val="24"/>
        </w:rPr>
        <w:t xml:space="preserve"> biodiesel, </w:t>
      </w:r>
      <w:r w:rsidR="008029B5">
        <w:rPr>
          <w:rFonts w:ascii="Times New Roman" w:hAnsi="Times New Roman" w:cs="Times New Roman"/>
          <w:sz w:val="24"/>
          <w:szCs w:val="24"/>
        </w:rPr>
        <w:t>mais</w:t>
      </w:r>
      <w:r w:rsidR="00082870">
        <w:rPr>
          <w:rFonts w:ascii="Times New Roman" w:hAnsi="Times New Roman" w:cs="Times New Roman"/>
          <w:sz w:val="24"/>
          <w:szCs w:val="24"/>
        </w:rPr>
        <w:t xml:space="preserve"> importante </w:t>
      </w:r>
      <w:r w:rsidR="008029B5">
        <w:rPr>
          <w:rFonts w:ascii="Times New Roman" w:hAnsi="Times New Roman" w:cs="Times New Roman"/>
          <w:sz w:val="24"/>
          <w:szCs w:val="24"/>
        </w:rPr>
        <w:t>que</w:t>
      </w:r>
      <w:r w:rsidR="00082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4108F">
        <w:rPr>
          <w:rFonts w:ascii="Times New Roman" w:hAnsi="Times New Roman" w:cs="Times New Roman"/>
          <w:sz w:val="24"/>
          <w:szCs w:val="24"/>
        </w:rPr>
        <w:t xml:space="preserve"> dimensão d</w:t>
      </w:r>
      <w:r w:rsidR="00082870">
        <w:rPr>
          <w:rFonts w:ascii="Times New Roman" w:hAnsi="Times New Roman" w:cs="Times New Roman"/>
          <w:sz w:val="24"/>
          <w:szCs w:val="24"/>
        </w:rPr>
        <w:t xml:space="preserve">a safra </w:t>
      </w:r>
      <w:r>
        <w:rPr>
          <w:rFonts w:ascii="Times New Roman" w:hAnsi="Times New Roman" w:cs="Times New Roman"/>
          <w:sz w:val="24"/>
          <w:szCs w:val="24"/>
        </w:rPr>
        <w:t xml:space="preserve">nacional </w:t>
      </w:r>
      <w:r w:rsidR="00082870">
        <w:rPr>
          <w:rFonts w:ascii="Times New Roman" w:hAnsi="Times New Roman" w:cs="Times New Roman"/>
          <w:sz w:val="24"/>
          <w:szCs w:val="24"/>
        </w:rPr>
        <w:t xml:space="preserve">de soja é </w:t>
      </w:r>
      <w:r w:rsidR="0034108F">
        <w:rPr>
          <w:rFonts w:ascii="Times New Roman" w:hAnsi="Times New Roman" w:cs="Times New Roman"/>
          <w:sz w:val="24"/>
          <w:szCs w:val="24"/>
        </w:rPr>
        <w:t>avaliar</w:t>
      </w:r>
      <w:r w:rsidR="00082870">
        <w:rPr>
          <w:rFonts w:ascii="Times New Roman" w:hAnsi="Times New Roman" w:cs="Times New Roman"/>
          <w:sz w:val="24"/>
          <w:szCs w:val="24"/>
        </w:rPr>
        <w:t xml:space="preserve"> se o país reunirá condições competitiv</w:t>
      </w:r>
      <w:r w:rsidR="00B909B6">
        <w:rPr>
          <w:rFonts w:ascii="Times New Roman" w:hAnsi="Times New Roman" w:cs="Times New Roman"/>
          <w:sz w:val="24"/>
          <w:szCs w:val="24"/>
        </w:rPr>
        <w:t xml:space="preserve">as para ampliar o processamento </w:t>
      </w:r>
      <w:r w:rsidR="0034108F">
        <w:rPr>
          <w:rFonts w:ascii="Times New Roman" w:hAnsi="Times New Roman" w:cs="Times New Roman"/>
          <w:sz w:val="24"/>
          <w:szCs w:val="24"/>
        </w:rPr>
        <w:t xml:space="preserve">e, por conseqüência, </w:t>
      </w:r>
      <w:r w:rsidR="00783CDD">
        <w:rPr>
          <w:rFonts w:ascii="Times New Roman" w:hAnsi="Times New Roman" w:cs="Times New Roman"/>
          <w:sz w:val="24"/>
          <w:szCs w:val="24"/>
        </w:rPr>
        <w:t>atender à</w:t>
      </w:r>
      <w:r w:rsidR="00B909B6">
        <w:rPr>
          <w:rFonts w:ascii="Times New Roman" w:hAnsi="Times New Roman" w:cs="Times New Roman"/>
          <w:sz w:val="24"/>
          <w:szCs w:val="24"/>
        </w:rPr>
        <w:t xml:space="preserve"> demanda interna por</w:t>
      </w:r>
      <w:r w:rsidR="0034108F">
        <w:rPr>
          <w:rFonts w:ascii="Times New Roman" w:hAnsi="Times New Roman" w:cs="Times New Roman"/>
          <w:sz w:val="24"/>
          <w:szCs w:val="24"/>
        </w:rPr>
        <w:t xml:space="preserve"> óleo </w:t>
      </w:r>
      <w:r w:rsidR="00B909B6">
        <w:rPr>
          <w:rFonts w:ascii="Times New Roman" w:hAnsi="Times New Roman" w:cs="Times New Roman"/>
          <w:sz w:val="24"/>
          <w:szCs w:val="24"/>
        </w:rPr>
        <w:t>para produção do biocombustível</w:t>
      </w:r>
      <w:r w:rsidR="00082870">
        <w:rPr>
          <w:rFonts w:ascii="Times New Roman" w:hAnsi="Times New Roman" w:cs="Times New Roman"/>
          <w:sz w:val="24"/>
          <w:szCs w:val="24"/>
        </w:rPr>
        <w:t xml:space="preserve">. </w:t>
      </w:r>
      <w:r w:rsidR="005F4311">
        <w:rPr>
          <w:rFonts w:ascii="Times New Roman" w:hAnsi="Times New Roman" w:cs="Times New Roman"/>
          <w:sz w:val="24"/>
          <w:szCs w:val="24"/>
        </w:rPr>
        <w:t xml:space="preserve"> </w:t>
      </w:r>
      <w:r w:rsidR="0034108F">
        <w:rPr>
          <w:rFonts w:ascii="Times New Roman" w:hAnsi="Times New Roman" w:cs="Times New Roman"/>
          <w:sz w:val="24"/>
          <w:szCs w:val="24"/>
        </w:rPr>
        <w:t>Sob</w:t>
      </w:r>
      <w:r w:rsidR="000E0DA9">
        <w:rPr>
          <w:rFonts w:ascii="Times New Roman" w:hAnsi="Times New Roman" w:cs="Times New Roman"/>
          <w:sz w:val="24"/>
          <w:szCs w:val="24"/>
        </w:rPr>
        <w:t>re</w:t>
      </w:r>
      <w:r w:rsidR="0034108F">
        <w:rPr>
          <w:rFonts w:ascii="Times New Roman" w:hAnsi="Times New Roman" w:cs="Times New Roman"/>
          <w:sz w:val="24"/>
          <w:szCs w:val="24"/>
        </w:rPr>
        <w:t xml:space="preserve"> este aspecto, as perspectivas </w:t>
      </w:r>
      <w:r w:rsidR="003D4AEB">
        <w:rPr>
          <w:rFonts w:ascii="Times New Roman" w:hAnsi="Times New Roman" w:cs="Times New Roman"/>
          <w:sz w:val="24"/>
          <w:szCs w:val="24"/>
        </w:rPr>
        <w:lastRenderedPageBreak/>
        <w:t>são menos positivas</w:t>
      </w:r>
      <w:r w:rsidR="00D148C3">
        <w:rPr>
          <w:rFonts w:ascii="Times New Roman" w:hAnsi="Times New Roman" w:cs="Times New Roman"/>
          <w:sz w:val="24"/>
          <w:szCs w:val="24"/>
        </w:rPr>
        <w:t xml:space="preserve">, visto que </w:t>
      </w:r>
      <w:r w:rsidR="004D3F57">
        <w:rPr>
          <w:rFonts w:ascii="Times New Roman" w:hAnsi="Times New Roman" w:cs="Times New Roman"/>
          <w:sz w:val="24"/>
          <w:szCs w:val="24"/>
        </w:rPr>
        <w:t>a tendência é o Brasil</w:t>
      </w:r>
      <w:r w:rsidR="00D148C3">
        <w:rPr>
          <w:rFonts w:ascii="Times New Roman" w:hAnsi="Times New Roman" w:cs="Times New Roman"/>
          <w:sz w:val="24"/>
          <w:szCs w:val="24"/>
        </w:rPr>
        <w:t xml:space="preserve"> </w:t>
      </w:r>
      <w:r w:rsidR="004D3F57">
        <w:rPr>
          <w:rFonts w:ascii="Times New Roman" w:hAnsi="Times New Roman" w:cs="Times New Roman"/>
          <w:sz w:val="24"/>
          <w:szCs w:val="24"/>
        </w:rPr>
        <w:t>seguir</w:t>
      </w:r>
      <w:r w:rsidR="00D4548B">
        <w:rPr>
          <w:rFonts w:ascii="Times New Roman" w:hAnsi="Times New Roman" w:cs="Times New Roman"/>
          <w:sz w:val="24"/>
          <w:szCs w:val="24"/>
        </w:rPr>
        <w:t xml:space="preserve"> aumentando suas exportações de soja em grão acima do crescimento da safra</w:t>
      </w:r>
      <w:r w:rsidR="00D4548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D454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E53" w:rsidRDefault="00F03E53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acordo com o USDA (2011</w:t>
      </w:r>
      <w:r w:rsidR="003B342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), por questões estratégicas de auto-abastecimento</w:t>
      </w:r>
      <w:r w:rsidR="00BB03D6">
        <w:rPr>
          <w:rFonts w:ascii="Times New Roman" w:hAnsi="Times New Roman" w:cs="Times New Roman"/>
          <w:sz w:val="24"/>
          <w:szCs w:val="24"/>
        </w:rPr>
        <w:t xml:space="preserve"> e visando capturar o valor adicionado da transformação do grão de soja em farelo e óleo</w:t>
      </w:r>
      <w:r>
        <w:rPr>
          <w:rFonts w:ascii="Times New Roman" w:hAnsi="Times New Roman" w:cs="Times New Roman"/>
          <w:sz w:val="24"/>
          <w:szCs w:val="24"/>
        </w:rPr>
        <w:t xml:space="preserve">, muitos países com limitada oportunidade para expandir a produção doméstica de oleaginosas, tais como a China e alguns países do norte da África, investiram pesadamente na expansão da capacidade da indústria de processamento. Por essa razão, </w:t>
      </w:r>
      <w:r w:rsidR="007C2E94">
        <w:rPr>
          <w:rFonts w:ascii="Times New Roman" w:hAnsi="Times New Roman" w:cs="Times New Roman"/>
          <w:sz w:val="24"/>
          <w:szCs w:val="24"/>
        </w:rPr>
        <w:t xml:space="preserve">espera-se que a </w:t>
      </w:r>
      <w:r w:rsidR="00BB03D6">
        <w:rPr>
          <w:rFonts w:ascii="Times New Roman" w:hAnsi="Times New Roman" w:cs="Times New Roman"/>
          <w:sz w:val="24"/>
          <w:szCs w:val="24"/>
        </w:rPr>
        <w:t>participação d</w:t>
      </w:r>
      <w:r>
        <w:rPr>
          <w:rFonts w:ascii="Times New Roman" w:hAnsi="Times New Roman" w:cs="Times New Roman"/>
          <w:sz w:val="24"/>
          <w:szCs w:val="24"/>
        </w:rPr>
        <w:t>o grão</w:t>
      </w:r>
      <w:r w:rsidR="00BB03D6">
        <w:rPr>
          <w:rFonts w:ascii="Times New Roman" w:hAnsi="Times New Roman" w:cs="Times New Roman"/>
          <w:sz w:val="24"/>
          <w:szCs w:val="24"/>
        </w:rPr>
        <w:t xml:space="preserve"> no comércio internaci</w:t>
      </w:r>
      <w:r w:rsidR="00421B00">
        <w:rPr>
          <w:rFonts w:ascii="Times New Roman" w:hAnsi="Times New Roman" w:cs="Times New Roman"/>
          <w:sz w:val="24"/>
          <w:szCs w:val="24"/>
        </w:rPr>
        <w:t xml:space="preserve">onal do </w:t>
      </w:r>
      <w:proofErr w:type="gramStart"/>
      <w:r w:rsidR="00421B00">
        <w:rPr>
          <w:rFonts w:ascii="Times New Roman" w:hAnsi="Times New Roman" w:cs="Times New Roman"/>
          <w:sz w:val="24"/>
          <w:szCs w:val="24"/>
        </w:rPr>
        <w:t>complexo s</w:t>
      </w:r>
      <w:r w:rsidR="007C2E94">
        <w:rPr>
          <w:rFonts w:ascii="Times New Roman" w:hAnsi="Times New Roman" w:cs="Times New Roman"/>
          <w:sz w:val="24"/>
          <w:szCs w:val="24"/>
        </w:rPr>
        <w:t>oja</w:t>
      </w:r>
      <w:proofErr w:type="gramEnd"/>
      <w:r w:rsidR="007C2E94">
        <w:rPr>
          <w:rFonts w:ascii="Times New Roman" w:hAnsi="Times New Roman" w:cs="Times New Roman"/>
          <w:sz w:val="24"/>
          <w:szCs w:val="24"/>
        </w:rPr>
        <w:t xml:space="preserve"> continue</w:t>
      </w:r>
      <w:r w:rsidR="00BB03D6">
        <w:rPr>
          <w:rFonts w:ascii="Times New Roman" w:hAnsi="Times New Roman" w:cs="Times New Roman"/>
          <w:sz w:val="24"/>
          <w:szCs w:val="24"/>
        </w:rPr>
        <w:t xml:space="preserve"> aumentando nos próximos anos e </w:t>
      </w:r>
      <w:r w:rsidR="00B909B6">
        <w:rPr>
          <w:rFonts w:ascii="Times New Roman" w:hAnsi="Times New Roman" w:cs="Times New Roman"/>
          <w:sz w:val="24"/>
          <w:szCs w:val="24"/>
        </w:rPr>
        <w:t xml:space="preserve">que </w:t>
      </w:r>
      <w:r w:rsidR="00C32E40">
        <w:rPr>
          <w:rFonts w:ascii="Times New Roman" w:hAnsi="Times New Roman" w:cs="Times New Roman"/>
          <w:sz w:val="24"/>
          <w:szCs w:val="24"/>
        </w:rPr>
        <w:t>a China</w:t>
      </w:r>
      <w:r w:rsidR="00BB03D6">
        <w:rPr>
          <w:rFonts w:ascii="Times New Roman" w:hAnsi="Times New Roman" w:cs="Times New Roman"/>
          <w:sz w:val="24"/>
          <w:szCs w:val="24"/>
        </w:rPr>
        <w:t xml:space="preserve"> </w:t>
      </w:r>
      <w:r w:rsidR="007C2E94">
        <w:rPr>
          <w:rFonts w:ascii="Times New Roman" w:hAnsi="Times New Roman" w:cs="Times New Roman"/>
          <w:sz w:val="24"/>
          <w:szCs w:val="24"/>
        </w:rPr>
        <w:t>absorva até</w:t>
      </w:r>
      <w:r w:rsidR="00BB03D6">
        <w:rPr>
          <w:rFonts w:ascii="Times New Roman" w:hAnsi="Times New Roman" w:cs="Times New Roman"/>
          <w:sz w:val="24"/>
          <w:szCs w:val="24"/>
        </w:rPr>
        <w:t xml:space="preserve"> 90% </w:t>
      </w:r>
      <w:r w:rsidR="004F341A">
        <w:rPr>
          <w:rFonts w:ascii="Times New Roman" w:hAnsi="Times New Roman" w:cs="Times New Roman"/>
          <w:sz w:val="24"/>
          <w:szCs w:val="24"/>
        </w:rPr>
        <w:t>da variação esperada</w:t>
      </w:r>
      <w:r w:rsidR="00B909B6">
        <w:rPr>
          <w:rFonts w:ascii="Times New Roman" w:hAnsi="Times New Roman" w:cs="Times New Roman"/>
          <w:sz w:val="24"/>
          <w:szCs w:val="24"/>
        </w:rPr>
        <w:t xml:space="preserve"> n</w:t>
      </w:r>
      <w:r w:rsidR="00BB03D6">
        <w:rPr>
          <w:rFonts w:ascii="Times New Roman" w:hAnsi="Times New Roman" w:cs="Times New Roman"/>
          <w:sz w:val="24"/>
          <w:szCs w:val="24"/>
        </w:rPr>
        <w:t xml:space="preserve">as importações </w:t>
      </w:r>
      <w:r w:rsidR="009F2C6B">
        <w:rPr>
          <w:rFonts w:ascii="Times New Roman" w:hAnsi="Times New Roman" w:cs="Times New Roman"/>
          <w:sz w:val="24"/>
          <w:szCs w:val="24"/>
        </w:rPr>
        <w:t xml:space="preserve">mundiais </w:t>
      </w:r>
      <w:r w:rsidR="00BB03D6">
        <w:rPr>
          <w:rFonts w:ascii="Times New Roman" w:hAnsi="Times New Roman" w:cs="Times New Roman"/>
          <w:sz w:val="24"/>
          <w:szCs w:val="24"/>
        </w:rPr>
        <w:t xml:space="preserve">de soja </w:t>
      </w:r>
      <w:r w:rsidR="008E5802">
        <w:rPr>
          <w:rFonts w:ascii="Times New Roman" w:hAnsi="Times New Roman" w:cs="Times New Roman"/>
          <w:sz w:val="24"/>
          <w:szCs w:val="24"/>
        </w:rPr>
        <w:t xml:space="preserve">em grão </w:t>
      </w:r>
      <w:r w:rsidR="00BB03D6">
        <w:rPr>
          <w:rFonts w:ascii="Times New Roman" w:hAnsi="Times New Roman" w:cs="Times New Roman"/>
          <w:sz w:val="24"/>
          <w:szCs w:val="24"/>
        </w:rPr>
        <w:t>entre 2011 e 2020.</w:t>
      </w:r>
    </w:p>
    <w:p w:rsidR="00BE36E8" w:rsidRDefault="00D4548B" w:rsidP="00BE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</w:t>
      </w:r>
      <w:r w:rsidR="00BE36E8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USDA (2011</w:t>
      </w:r>
      <w:r w:rsidR="003B34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BE36E8">
        <w:rPr>
          <w:rFonts w:ascii="Times New Roman" w:hAnsi="Times New Roman" w:cs="Times New Roman"/>
          <w:sz w:val="24"/>
          <w:szCs w:val="24"/>
        </w:rPr>
        <w:t xml:space="preserve">, apesar de ser o segundo maior produtor de soja do mundo, o Brasil ocupa a quarta posição no ranking dos países onde a oleaginosa é processada. Isso se deve </w:t>
      </w:r>
      <w:r w:rsidR="00D351DF">
        <w:rPr>
          <w:rFonts w:ascii="Times New Roman" w:hAnsi="Times New Roman" w:cs="Times New Roman"/>
          <w:sz w:val="24"/>
          <w:szCs w:val="24"/>
        </w:rPr>
        <w:t xml:space="preserve">de um lado </w:t>
      </w:r>
      <w:r w:rsidR="00BE36E8">
        <w:rPr>
          <w:rFonts w:ascii="Times New Roman" w:hAnsi="Times New Roman" w:cs="Times New Roman"/>
          <w:sz w:val="24"/>
          <w:szCs w:val="24"/>
        </w:rPr>
        <w:t xml:space="preserve">ao fato de a indústria nacional enfrentar dificuldades tributárias, cambiais e logísticas internas e </w:t>
      </w:r>
      <w:r w:rsidR="00D351DF">
        <w:rPr>
          <w:rFonts w:ascii="Times New Roman" w:hAnsi="Times New Roman" w:cs="Times New Roman"/>
          <w:sz w:val="24"/>
          <w:szCs w:val="24"/>
        </w:rPr>
        <w:t>de outro à</w:t>
      </w:r>
      <w:r w:rsidR="00BE36E8">
        <w:rPr>
          <w:rFonts w:ascii="Times New Roman" w:hAnsi="Times New Roman" w:cs="Times New Roman"/>
          <w:sz w:val="24"/>
          <w:szCs w:val="24"/>
        </w:rPr>
        <w:t xml:space="preserve"> escalada tarifária imposta pelos principais pa</w:t>
      </w:r>
      <w:r w:rsidR="00C32E40">
        <w:rPr>
          <w:rFonts w:ascii="Times New Roman" w:hAnsi="Times New Roman" w:cs="Times New Roman"/>
          <w:sz w:val="24"/>
          <w:szCs w:val="24"/>
        </w:rPr>
        <w:t>íses importadores</w:t>
      </w:r>
      <w:r w:rsidR="00BE36E8">
        <w:rPr>
          <w:rFonts w:ascii="Times New Roman" w:hAnsi="Times New Roman" w:cs="Times New Roman"/>
          <w:sz w:val="24"/>
          <w:szCs w:val="24"/>
        </w:rPr>
        <w:t>.</w:t>
      </w:r>
    </w:p>
    <w:p w:rsidR="00BE36E8" w:rsidRDefault="00C32E40" w:rsidP="00BE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Enquanto </w:t>
      </w:r>
      <w:r w:rsidR="00BE36E8">
        <w:rPr>
          <w:rFonts w:ascii="Times New Roman" w:hAnsi="Times New Roman" w:cs="Times New Roman"/>
          <w:sz w:val="24"/>
          <w:szCs w:val="24"/>
        </w:rPr>
        <w:t xml:space="preserve">os Estados Unidos </w:t>
      </w:r>
      <w:r>
        <w:rPr>
          <w:rFonts w:ascii="Times New Roman" w:hAnsi="Times New Roman" w:cs="Times New Roman"/>
          <w:sz w:val="24"/>
          <w:szCs w:val="24"/>
        </w:rPr>
        <w:t xml:space="preserve">e a Argentina (primeiro e terceiro maiores produtores de soja do mundo) </w:t>
      </w:r>
      <w:r w:rsidR="00BE36E8">
        <w:rPr>
          <w:rFonts w:ascii="Times New Roman" w:hAnsi="Times New Roman" w:cs="Times New Roman"/>
          <w:sz w:val="24"/>
          <w:szCs w:val="24"/>
        </w:rPr>
        <w:t>possuem mecanismos tributários de in</w:t>
      </w:r>
      <w:r w:rsidR="00533598">
        <w:rPr>
          <w:rFonts w:ascii="Times New Roman" w:hAnsi="Times New Roman" w:cs="Times New Roman"/>
          <w:sz w:val="24"/>
          <w:szCs w:val="24"/>
        </w:rPr>
        <w:t>centivo à agregação de valor e à</w:t>
      </w:r>
      <w:r w:rsidR="00BE36E8">
        <w:rPr>
          <w:rFonts w:ascii="Times New Roman" w:hAnsi="Times New Roman" w:cs="Times New Roman"/>
          <w:sz w:val="24"/>
          <w:szCs w:val="24"/>
        </w:rPr>
        <w:t xml:space="preserve"> exportação dos produtos </w:t>
      </w:r>
      <w:r w:rsidR="003D0B06">
        <w:rPr>
          <w:rFonts w:ascii="Times New Roman" w:hAnsi="Times New Roman" w:cs="Times New Roman"/>
          <w:sz w:val="24"/>
          <w:szCs w:val="24"/>
        </w:rPr>
        <w:t xml:space="preserve">derivados </w:t>
      </w:r>
      <w:r w:rsidR="00BE36E8">
        <w:rPr>
          <w:rFonts w:ascii="Times New Roman" w:hAnsi="Times New Roman" w:cs="Times New Roman"/>
          <w:sz w:val="24"/>
          <w:szCs w:val="24"/>
        </w:rPr>
        <w:t xml:space="preserve">da soja (farelo e óleo), a indústria brasileira de óleos vegetais se defronta com a falta de isonomia tributária entre matéria prima e produtos de exportação e com o desbalanceamento da carga tributária de ICMS. Além disso, alterações recentes no regime do PIS e da COFINS (Lei 12.350/2010) agravaram um dos mais críticos problemas </w:t>
      </w:r>
      <w:proofErr w:type="gramStart"/>
      <w:r w:rsidR="00BE36E8">
        <w:rPr>
          <w:rFonts w:ascii="Times New Roman" w:hAnsi="Times New Roman" w:cs="Times New Roman"/>
          <w:sz w:val="24"/>
          <w:szCs w:val="24"/>
        </w:rPr>
        <w:t>enfrentados</w:t>
      </w:r>
      <w:proofErr w:type="gramEnd"/>
      <w:r w:rsidR="00BE36E8">
        <w:rPr>
          <w:rFonts w:ascii="Times New Roman" w:hAnsi="Times New Roman" w:cs="Times New Roman"/>
          <w:sz w:val="24"/>
          <w:szCs w:val="24"/>
        </w:rPr>
        <w:t xml:space="preserve"> pelo setor, qual seja o acúmulo de créditos tributários de incerta e morosa recuperação (</w:t>
      </w:r>
      <w:r w:rsidR="003B342A">
        <w:rPr>
          <w:rFonts w:ascii="Times New Roman" w:hAnsi="Times New Roman" w:cs="Times New Roman"/>
          <w:sz w:val="24"/>
          <w:szCs w:val="24"/>
        </w:rPr>
        <w:t>ASSOCIAÇÃO BRASILEIRA DAS INDÚSTRIAS DE ÓLEOS VEGETAIS – ABIOVE</w:t>
      </w:r>
      <w:r w:rsidR="00BE36E8">
        <w:rPr>
          <w:rFonts w:ascii="Times New Roman" w:hAnsi="Times New Roman" w:cs="Times New Roman"/>
          <w:sz w:val="24"/>
          <w:szCs w:val="24"/>
        </w:rPr>
        <w:t>, 2011</w:t>
      </w:r>
      <w:r w:rsidR="003B342A">
        <w:rPr>
          <w:rFonts w:ascii="Times New Roman" w:hAnsi="Times New Roman" w:cs="Times New Roman"/>
          <w:sz w:val="24"/>
          <w:szCs w:val="24"/>
        </w:rPr>
        <w:t>, p. 18</w:t>
      </w:r>
      <w:r w:rsidR="00BE36E8">
        <w:rPr>
          <w:rFonts w:ascii="Times New Roman" w:hAnsi="Times New Roman" w:cs="Times New Roman"/>
          <w:sz w:val="24"/>
          <w:szCs w:val="24"/>
        </w:rPr>
        <w:t>).</w:t>
      </w:r>
    </w:p>
    <w:p w:rsidR="004135BA" w:rsidRDefault="00BE36E8" w:rsidP="00BE36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campo externo, a co</w:t>
      </w:r>
      <w:r w:rsidR="004135BA">
        <w:rPr>
          <w:rFonts w:ascii="Times New Roman" w:hAnsi="Times New Roman" w:cs="Times New Roman"/>
          <w:sz w:val="24"/>
          <w:szCs w:val="24"/>
        </w:rPr>
        <w:t xml:space="preserve">brança de tarifas de importação </w:t>
      </w:r>
      <w:r>
        <w:rPr>
          <w:rFonts w:ascii="Times New Roman" w:hAnsi="Times New Roman" w:cs="Times New Roman"/>
          <w:sz w:val="24"/>
          <w:szCs w:val="24"/>
        </w:rPr>
        <w:t xml:space="preserve">crescentes segundo o valor adicionado (escalada tarifária) pelos principais países importadores também </w:t>
      </w:r>
      <w:r w:rsidR="005C578C">
        <w:rPr>
          <w:rFonts w:ascii="Times New Roman" w:hAnsi="Times New Roman" w:cs="Times New Roman"/>
          <w:sz w:val="24"/>
          <w:szCs w:val="24"/>
        </w:rPr>
        <w:t>dificulta</w:t>
      </w:r>
      <w:r>
        <w:rPr>
          <w:rFonts w:ascii="Times New Roman" w:hAnsi="Times New Roman" w:cs="Times New Roman"/>
          <w:sz w:val="24"/>
          <w:szCs w:val="24"/>
        </w:rPr>
        <w:t xml:space="preserve"> a industrialização da soja no Brasil</w:t>
      </w:r>
      <w:r w:rsidR="00064650">
        <w:rPr>
          <w:rFonts w:ascii="Times New Roman" w:hAnsi="Times New Roman" w:cs="Times New Roman"/>
          <w:sz w:val="24"/>
          <w:szCs w:val="24"/>
        </w:rPr>
        <w:t xml:space="preserve"> e a exportação de carnes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35BA">
        <w:rPr>
          <w:rFonts w:ascii="Times New Roman" w:hAnsi="Times New Roman" w:cs="Times New Roman"/>
          <w:sz w:val="24"/>
          <w:szCs w:val="24"/>
        </w:rPr>
        <w:t>A China, principal importador de soja do mundo, impõe tarifas</w:t>
      </w:r>
      <w:r w:rsidR="005C578C">
        <w:rPr>
          <w:rFonts w:ascii="Times New Roman" w:hAnsi="Times New Roman" w:cs="Times New Roman"/>
          <w:sz w:val="24"/>
          <w:szCs w:val="24"/>
        </w:rPr>
        <w:t xml:space="preserve"> de importação</w:t>
      </w:r>
      <w:r w:rsidR="004135BA">
        <w:rPr>
          <w:rFonts w:ascii="Times New Roman" w:hAnsi="Times New Roman" w:cs="Times New Roman"/>
          <w:sz w:val="24"/>
          <w:szCs w:val="24"/>
        </w:rPr>
        <w:t xml:space="preserve"> </w:t>
      </w:r>
      <w:r w:rsidR="004135BA" w:rsidRPr="005C578C">
        <w:rPr>
          <w:rFonts w:ascii="Times New Roman" w:hAnsi="Times New Roman" w:cs="Times New Roman"/>
          <w:i/>
          <w:sz w:val="24"/>
          <w:szCs w:val="24"/>
        </w:rPr>
        <w:t>ad valorem</w:t>
      </w:r>
      <w:r w:rsidR="004135BA">
        <w:rPr>
          <w:rFonts w:ascii="Times New Roman" w:hAnsi="Times New Roman" w:cs="Times New Roman"/>
          <w:sz w:val="24"/>
          <w:szCs w:val="24"/>
        </w:rPr>
        <w:t xml:space="preserve"> de 3% sobre o grão, 5% </w:t>
      </w:r>
      <w:r w:rsidR="005C578C">
        <w:rPr>
          <w:rFonts w:ascii="Times New Roman" w:hAnsi="Times New Roman" w:cs="Times New Roman"/>
          <w:sz w:val="24"/>
          <w:szCs w:val="24"/>
        </w:rPr>
        <w:t>sobre o farelo, 9% sobre o óleo e</w:t>
      </w:r>
      <w:r w:rsidR="004135BA">
        <w:rPr>
          <w:rFonts w:ascii="Times New Roman" w:hAnsi="Times New Roman" w:cs="Times New Roman"/>
          <w:sz w:val="24"/>
          <w:szCs w:val="24"/>
        </w:rPr>
        <w:t xml:space="preserve"> 12% sobre a carne suína e </w:t>
      </w:r>
      <w:r w:rsidR="00064650">
        <w:rPr>
          <w:rFonts w:ascii="Times New Roman" w:hAnsi="Times New Roman" w:cs="Times New Roman"/>
          <w:sz w:val="24"/>
          <w:szCs w:val="24"/>
        </w:rPr>
        <w:t xml:space="preserve">aplica </w:t>
      </w:r>
      <w:r w:rsidR="004135BA">
        <w:rPr>
          <w:rFonts w:ascii="Times New Roman" w:hAnsi="Times New Roman" w:cs="Times New Roman"/>
          <w:sz w:val="24"/>
          <w:szCs w:val="24"/>
        </w:rPr>
        <w:t xml:space="preserve">tarifa específica de </w:t>
      </w:r>
      <w:r w:rsidR="004208B3">
        <w:rPr>
          <w:rFonts w:ascii="Times New Roman" w:hAnsi="Times New Roman" w:cs="Times New Roman"/>
          <w:sz w:val="24"/>
          <w:szCs w:val="24"/>
        </w:rPr>
        <w:t xml:space="preserve">até </w:t>
      </w:r>
      <w:proofErr w:type="gramStart"/>
      <w:r w:rsidR="004135BA">
        <w:rPr>
          <w:rFonts w:ascii="Times New Roman" w:hAnsi="Times New Roman" w:cs="Times New Roman"/>
          <w:sz w:val="24"/>
          <w:szCs w:val="24"/>
        </w:rPr>
        <w:t>1,3 Yuan</w:t>
      </w:r>
      <w:proofErr w:type="gramEnd"/>
      <w:r w:rsidR="004135BA">
        <w:rPr>
          <w:rFonts w:ascii="Times New Roman" w:hAnsi="Times New Roman" w:cs="Times New Roman"/>
          <w:sz w:val="24"/>
          <w:szCs w:val="24"/>
        </w:rPr>
        <w:t xml:space="preserve"> por quilo de carne de frango importada (</w:t>
      </w:r>
      <w:r w:rsidR="004B208E">
        <w:rPr>
          <w:rFonts w:ascii="Times New Roman" w:hAnsi="Times New Roman" w:cs="Times New Roman"/>
          <w:sz w:val="24"/>
          <w:szCs w:val="24"/>
        </w:rPr>
        <w:t>BRASIL</w:t>
      </w:r>
      <w:r w:rsidR="004135BA">
        <w:rPr>
          <w:rFonts w:ascii="Times New Roman" w:hAnsi="Times New Roman" w:cs="Times New Roman"/>
          <w:sz w:val="24"/>
          <w:szCs w:val="24"/>
        </w:rPr>
        <w:t>, 2009</w:t>
      </w:r>
      <w:r w:rsidR="00C37B96">
        <w:rPr>
          <w:rFonts w:ascii="Times New Roman" w:hAnsi="Times New Roman" w:cs="Times New Roman"/>
          <w:sz w:val="24"/>
          <w:szCs w:val="24"/>
        </w:rPr>
        <w:t>, p. 137</w:t>
      </w:r>
      <w:r w:rsidR="004135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56834" w:rsidRDefault="00F07859" w:rsidP="003C25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 </w:t>
      </w:r>
      <w:r w:rsidR="009E092E">
        <w:rPr>
          <w:rFonts w:ascii="Times New Roman" w:hAnsi="Times New Roman" w:cs="Times New Roman"/>
          <w:sz w:val="24"/>
          <w:szCs w:val="24"/>
        </w:rPr>
        <w:t>conseqüência</w:t>
      </w:r>
      <w:r w:rsidR="004135BA">
        <w:rPr>
          <w:rFonts w:ascii="Times New Roman" w:hAnsi="Times New Roman" w:cs="Times New Roman"/>
          <w:sz w:val="24"/>
          <w:szCs w:val="24"/>
        </w:rPr>
        <w:t xml:space="preserve"> </w:t>
      </w:r>
      <w:r w:rsidR="0036581E">
        <w:rPr>
          <w:rFonts w:ascii="Times New Roman" w:hAnsi="Times New Roman" w:cs="Times New Roman"/>
          <w:sz w:val="24"/>
          <w:szCs w:val="24"/>
        </w:rPr>
        <w:t>desse quadro,</w:t>
      </w:r>
      <w:r w:rsidR="00227939">
        <w:rPr>
          <w:rFonts w:ascii="Times New Roman" w:hAnsi="Times New Roman" w:cs="Times New Roman"/>
          <w:sz w:val="24"/>
          <w:szCs w:val="24"/>
        </w:rPr>
        <w:t xml:space="preserve"> a parcela da safra exportada sob a forma de matéria prima aumentou significativamente nas últimas duas décadas. </w:t>
      </w:r>
      <w:r w:rsidR="00355D27">
        <w:rPr>
          <w:rFonts w:ascii="Times New Roman" w:hAnsi="Times New Roman" w:cs="Times New Roman"/>
          <w:sz w:val="24"/>
          <w:szCs w:val="24"/>
        </w:rPr>
        <w:t xml:space="preserve">A combinação </w:t>
      </w:r>
      <w:r w:rsidR="00CA2AD2">
        <w:rPr>
          <w:rFonts w:ascii="Times New Roman" w:hAnsi="Times New Roman" w:cs="Times New Roman"/>
          <w:sz w:val="24"/>
          <w:szCs w:val="24"/>
        </w:rPr>
        <w:t>dos dados de exportação do Ministério do Desenvolvimento, Indústria e Comércio Exterior – MDIC</w:t>
      </w:r>
      <w:r w:rsidR="00D5265A">
        <w:rPr>
          <w:rFonts w:ascii="Times New Roman" w:hAnsi="Times New Roman" w:cs="Times New Roman"/>
          <w:sz w:val="24"/>
          <w:szCs w:val="24"/>
        </w:rPr>
        <w:t xml:space="preserve"> </w:t>
      </w:r>
      <w:r w:rsidR="00CA2AD2">
        <w:rPr>
          <w:rFonts w:ascii="Times New Roman" w:hAnsi="Times New Roman" w:cs="Times New Roman"/>
          <w:sz w:val="24"/>
          <w:szCs w:val="24"/>
        </w:rPr>
        <w:t xml:space="preserve">(Brasil, </w:t>
      </w:r>
      <w:r w:rsidR="00D5265A">
        <w:rPr>
          <w:rFonts w:ascii="Times New Roman" w:hAnsi="Times New Roman" w:cs="Times New Roman"/>
          <w:sz w:val="24"/>
          <w:szCs w:val="24"/>
        </w:rPr>
        <w:t>2012</w:t>
      </w:r>
      <w:r w:rsidR="00BD3385">
        <w:rPr>
          <w:rFonts w:ascii="Times New Roman" w:hAnsi="Times New Roman" w:cs="Times New Roman"/>
          <w:sz w:val="24"/>
          <w:szCs w:val="24"/>
        </w:rPr>
        <w:t>)</w:t>
      </w:r>
      <w:r w:rsidR="00CC20E7">
        <w:rPr>
          <w:rFonts w:ascii="Times New Roman" w:hAnsi="Times New Roman" w:cs="Times New Roman"/>
          <w:sz w:val="24"/>
          <w:szCs w:val="24"/>
        </w:rPr>
        <w:t xml:space="preserve"> com as estimativas de safra </w:t>
      </w:r>
      <w:r w:rsidR="00860011">
        <w:rPr>
          <w:rFonts w:ascii="Times New Roman" w:hAnsi="Times New Roman" w:cs="Times New Roman"/>
          <w:sz w:val="24"/>
          <w:szCs w:val="24"/>
        </w:rPr>
        <w:t>do Ministério da Agricultura, Pecuária e Abastecimento (Brasil, 2011a)</w:t>
      </w:r>
      <w:r w:rsidR="00CC20E7">
        <w:rPr>
          <w:rFonts w:ascii="Times New Roman" w:hAnsi="Times New Roman" w:cs="Times New Roman"/>
          <w:sz w:val="24"/>
          <w:szCs w:val="24"/>
        </w:rPr>
        <w:t xml:space="preserve"> </w:t>
      </w:r>
      <w:r w:rsidR="00355D27">
        <w:rPr>
          <w:rFonts w:ascii="Times New Roman" w:hAnsi="Times New Roman" w:cs="Times New Roman"/>
          <w:sz w:val="24"/>
          <w:szCs w:val="24"/>
        </w:rPr>
        <w:t>permitem inferir que</w:t>
      </w:r>
      <w:r w:rsidR="008F142E">
        <w:rPr>
          <w:rFonts w:ascii="Times New Roman" w:hAnsi="Times New Roman" w:cs="Times New Roman"/>
          <w:sz w:val="24"/>
          <w:szCs w:val="24"/>
        </w:rPr>
        <w:t>,</w:t>
      </w:r>
      <w:r w:rsidR="00355D27">
        <w:rPr>
          <w:rFonts w:ascii="Times New Roman" w:hAnsi="Times New Roman" w:cs="Times New Roman"/>
          <w:sz w:val="24"/>
          <w:szCs w:val="24"/>
        </w:rPr>
        <w:t xml:space="preserve"> e</w:t>
      </w:r>
      <w:r w:rsidR="00227939">
        <w:rPr>
          <w:rFonts w:ascii="Times New Roman" w:hAnsi="Times New Roman" w:cs="Times New Roman"/>
          <w:sz w:val="24"/>
          <w:szCs w:val="24"/>
        </w:rPr>
        <w:t>nquan</w:t>
      </w:r>
      <w:r w:rsidR="00057958">
        <w:rPr>
          <w:rFonts w:ascii="Times New Roman" w:hAnsi="Times New Roman" w:cs="Times New Roman"/>
          <w:sz w:val="24"/>
          <w:szCs w:val="24"/>
        </w:rPr>
        <w:t xml:space="preserve">to </w:t>
      </w:r>
      <w:r w:rsidR="00355D27">
        <w:rPr>
          <w:rFonts w:ascii="Times New Roman" w:hAnsi="Times New Roman" w:cs="Times New Roman"/>
          <w:sz w:val="24"/>
          <w:szCs w:val="24"/>
        </w:rPr>
        <w:t>em 1997 apenas 31,8</w:t>
      </w:r>
      <w:r w:rsidR="00227939">
        <w:rPr>
          <w:rFonts w:ascii="Times New Roman" w:hAnsi="Times New Roman" w:cs="Times New Roman"/>
          <w:sz w:val="24"/>
          <w:szCs w:val="24"/>
        </w:rPr>
        <w:t xml:space="preserve">% da safra </w:t>
      </w:r>
      <w:r w:rsidR="00A56834">
        <w:rPr>
          <w:rFonts w:ascii="Times New Roman" w:hAnsi="Times New Roman" w:cs="Times New Roman"/>
          <w:sz w:val="24"/>
          <w:szCs w:val="24"/>
        </w:rPr>
        <w:t xml:space="preserve">brasileira </w:t>
      </w:r>
      <w:proofErr w:type="gramStart"/>
      <w:r w:rsidR="00355D27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227939">
        <w:rPr>
          <w:rFonts w:ascii="Times New Roman" w:hAnsi="Times New Roman" w:cs="Times New Roman"/>
          <w:sz w:val="24"/>
          <w:szCs w:val="24"/>
        </w:rPr>
        <w:t xml:space="preserve"> exportada sob a forma de soja em grão, </w:t>
      </w:r>
      <w:r w:rsidR="00BD3385">
        <w:rPr>
          <w:rFonts w:ascii="Times New Roman" w:hAnsi="Times New Roman" w:cs="Times New Roman"/>
          <w:sz w:val="24"/>
          <w:szCs w:val="24"/>
        </w:rPr>
        <w:t>em 2010</w:t>
      </w:r>
      <w:r w:rsidR="00227939">
        <w:rPr>
          <w:rFonts w:ascii="Times New Roman" w:hAnsi="Times New Roman" w:cs="Times New Roman"/>
          <w:sz w:val="24"/>
          <w:szCs w:val="24"/>
        </w:rPr>
        <w:t xml:space="preserve"> </w:t>
      </w:r>
      <w:r w:rsidR="009D3E44">
        <w:rPr>
          <w:rFonts w:ascii="Times New Roman" w:hAnsi="Times New Roman" w:cs="Times New Roman"/>
          <w:sz w:val="24"/>
          <w:szCs w:val="24"/>
        </w:rPr>
        <w:t>esse percentual foi de</w:t>
      </w:r>
      <w:r w:rsidR="00227939">
        <w:rPr>
          <w:rFonts w:ascii="Times New Roman" w:hAnsi="Times New Roman" w:cs="Times New Roman"/>
          <w:sz w:val="24"/>
          <w:szCs w:val="24"/>
        </w:rPr>
        <w:t xml:space="preserve"> </w:t>
      </w:r>
      <w:r w:rsidR="00355D27">
        <w:rPr>
          <w:rFonts w:ascii="Times New Roman" w:hAnsi="Times New Roman" w:cs="Times New Roman"/>
          <w:sz w:val="24"/>
          <w:szCs w:val="24"/>
        </w:rPr>
        <w:t>43</w:t>
      </w:r>
      <w:r w:rsidR="00227939">
        <w:rPr>
          <w:rFonts w:ascii="Times New Roman" w:hAnsi="Times New Roman" w:cs="Times New Roman"/>
          <w:sz w:val="24"/>
          <w:szCs w:val="24"/>
        </w:rPr>
        <w:t xml:space="preserve">%. </w:t>
      </w:r>
      <w:r w:rsidR="00D627A1">
        <w:rPr>
          <w:rFonts w:ascii="Times New Roman" w:hAnsi="Times New Roman" w:cs="Times New Roman"/>
          <w:sz w:val="24"/>
          <w:szCs w:val="24"/>
        </w:rPr>
        <w:t xml:space="preserve">Ao consolidar-se </w:t>
      </w:r>
      <w:r w:rsidR="00723142">
        <w:rPr>
          <w:rFonts w:ascii="Times New Roman" w:hAnsi="Times New Roman" w:cs="Times New Roman"/>
          <w:sz w:val="24"/>
          <w:szCs w:val="24"/>
        </w:rPr>
        <w:t xml:space="preserve">cada vez mais como </w:t>
      </w:r>
      <w:r w:rsidR="00D627A1">
        <w:rPr>
          <w:rFonts w:ascii="Times New Roman" w:hAnsi="Times New Roman" w:cs="Times New Roman"/>
          <w:sz w:val="24"/>
          <w:szCs w:val="24"/>
        </w:rPr>
        <w:t xml:space="preserve">exportador </w:t>
      </w:r>
      <w:r w:rsidR="00064650">
        <w:rPr>
          <w:rFonts w:ascii="Times New Roman" w:hAnsi="Times New Roman" w:cs="Times New Roman"/>
          <w:sz w:val="24"/>
          <w:szCs w:val="24"/>
        </w:rPr>
        <w:t>da matéria prima</w:t>
      </w:r>
      <w:r w:rsidR="00D627A1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D627A1">
        <w:rPr>
          <w:rFonts w:ascii="Times New Roman" w:hAnsi="Times New Roman" w:cs="Times New Roman"/>
          <w:sz w:val="24"/>
          <w:szCs w:val="24"/>
        </w:rPr>
        <w:t xml:space="preserve">, </w:t>
      </w:r>
      <w:r w:rsidR="00721116">
        <w:rPr>
          <w:rFonts w:ascii="Times New Roman" w:hAnsi="Times New Roman" w:cs="Times New Roman"/>
          <w:sz w:val="24"/>
          <w:szCs w:val="24"/>
        </w:rPr>
        <w:t>o Brasil deixa de agregar valor localmente</w:t>
      </w:r>
      <w:r w:rsidR="00723142">
        <w:rPr>
          <w:rFonts w:ascii="Times New Roman" w:hAnsi="Times New Roman" w:cs="Times New Roman"/>
          <w:sz w:val="24"/>
          <w:szCs w:val="24"/>
        </w:rPr>
        <w:t xml:space="preserve"> e</w:t>
      </w:r>
      <w:r w:rsidR="00721116">
        <w:rPr>
          <w:rFonts w:ascii="Times New Roman" w:hAnsi="Times New Roman" w:cs="Times New Roman"/>
          <w:sz w:val="24"/>
          <w:szCs w:val="24"/>
        </w:rPr>
        <w:t xml:space="preserve"> não aproveita </w:t>
      </w:r>
      <w:r w:rsidR="00723142">
        <w:rPr>
          <w:rFonts w:ascii="Times New Roman" w:hAnsi="Times New Roman" w:cs="Times New Roman"/>
          <w:sz w:val="24"/>
          <w:szCs w:val="24"/>
        </w:rPr>
        <w:t xml:space="preserve">seu </w:t>
      </w:r>
      <w:r w:rsidR="00721116">
        <w:rPr>
          <w:rFonts w:ascii="Times New Roman" w:hAnsi="Times New Roman" w:cs="Times New Roman"/>
          <w:sz w:val="24"/>
          <w:szCs w:val="24"/>
        </w:rPr>
        <w:t>potencial de oferta de óleo de soja para</w:t>
      </w:r>
      <w:r w:rsidR="00723142">
        <w:rPr>
          <w:rFonts w:ascii="Times New Roman" w:hAnsi="Times New Roman" w:cs="Times New Roman"/>
          <w:sz w:val="24"/>
          <w:szCs w:val="24"/>
        </w:rPr>
        <w:t xml:space="preserve"> alimentação humana e</w:t>
      </w:r>
      <w:r w:rsidR="00721116">
        <w:rPr>
          <w:rFonts w:ascii="Times New Roman" w:hAnsi="Times New Roman" w:cs="Times New Roman"/>
          <w:sz w:val="24"/>
          <w:szCs w:val="24"/>
        </w:rPr>
        <w:t xml:space="preserve"> produção de biodiesel. </w:t>
      </w:r>
    </w:p>
    <w:p w:rsidR="00BE36E8" w:rsidRDefault="00BE36E8" w:rsidP="008E5A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4FFC" w:rsidRDefault="00F76675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7483" w:rsidRPr="00AF7A90">
        <w:rPr>
          <w:rFonts w:ascii="Times New Roman" w:hAnsi="Times New Roman" w:cs="Times New Roman"/>
          <w:b/>
          <w:sz w:val="24"/>
          <w:szCs w:val="24"/>
        </w:rPr>
        <w:t>Desafios</w:t>
      </w:r>
      <w:r w:rsidRPr="00AF7A90">
        <w:rPr>
          <w:rFonts w:ascii="Times New Roman" w:hAnsi="Times New Roman" w:cs="Times New Roman"/>
          <w:b/>
          <w:sz w:val="24"/>
          <w:szCs w:val="24"/>
        </w:rPr>
        <w:t xml:space="preserve"> para o crescimento da indústria </w:t>
      </w:r>
      <w:r w:rsidR="00C0043C">
        <w:rPr>
          <w:rFonts w:ascii="Times New Roman" w:hAnsi="Times New Roman" w:cs="Times New Roman"/>
          <w:b/>
          <w:sz w:val="24"/>
          <w:szCs w:val="24"/>
        </w:rPr>
        <w:t xml:space="preserve">do biodiesel </w:t>
      </w:r>
      <w:r w:rsidR="005130D5">
        <w:rPr>
          <w:rFonts w:ascii="Times New Roman" w:hAnsi="Times New Roman" w:cs="Times New Roman"/>
          <w:b/>
          <w:sz w:val="24"/>
          <w:szCs w:val="24"/>
        </w:rPr>
        <w:t xml:space="preserve">no </w:t>
      </w:r>
      <w:r w:rsidR="00222081" w:rsidRPr="00AF7A90">
        <w:rPr>
          <w:rFonts w:ascii="Times New Roman" w:hAnsi="Times New Roman" w:cs="Times New Roman"/>
          <w:b/>
          <w:sz w:val="24"/>
          <w:szCs w:val="24"/>
        </w:rPr>
        <w:t>Rio Grande do Sul</w:t>
      </w:r>
    </w:p>
    <w:p w:rsidR="001B4F9B" w:rsidRPr="007E1882" w:rsidRDefault="00CF1E2F" w:rsidP="00271A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43F">
        <w:rPr>
          <w:rFonts w:ascii="Times New Roman" w:hAnsi="Times New Roman" w:cs="Times New Roman"/>
          <w:sz w:val="24"/>
          <w:szCs w:val="24"/>
        </w:rPr>
        <w:t xml:space="preserve">Dado que o regime tributário brasileiro praticamente inviabiliza a transferência interestadual de soja para fins de esmagamento, a fração da safra que não é exportada pode ser utilizada como variável </w:t>
      </w:r>
      <w:proofErr w:type="spellStart"/>
      <w:proofErr w:type="gramStart"/>
      <w:r w:rsidRPr="004A343F">
        <w:rPr>
          <w:rFonts w:ascii="Times New Roman" w:hAnsi="Times New Roman" w:cs="Times New Roman"/>
          <w:i/>
          <w:sz w:val="24"/>
          <w:szCs w:val="24"/>
        </w:rPr>
        <w:t>proxy</w:t>
      </w:r>
      <w:proofErr w:type="spellEnd"/>
      <w:proofErr w:type="gramEnd"/>
      <w:r w:rsidRPr="004A343F">
        <w:rPr>
          <w:rFonts w:ascii="Times New Roman" w:hAnsi="Times New Roman" w:cs="Times New Roman"/>
          <w:sz w:val="24"/>
          <w:szCs w:val="24"/>
        </w:rPr>
        <w:t xml:space="preserve"> para a </w:t>
      </w:r>
      <w:r>
        <w:rPr>
          <w:rFonts w:ascii="Times New Roman" w:hAnsi="Times New Roman" w:cs="Times New Roman"/>
          <w:sz w:val="24"/>
          <w:szCs w:val="24"/>
        </w:rPr>
        <w:t>estimação</w:t>
      </w:r>
      <w:r w:rsidRPr="004A343F">
        <w:rPr>
          <w:rFonts w:ascii="Times New Roman" w:hAnsi="Times New Roman" w:cs="Times New Roman"/>
          <w:sz w:val="24"/>
          <w:szCs w:val="24"/>
        </w:rPr>
        <w:t xml:space="preserve"> da disponibilidade interna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343F">
        <w:rPr>
          <w:rFonts w:ascii="Times New Roman" w:hAnsi="Times New Roman" w:cs="Times New Roman"/>
          <w:sz w:val="24"/>
          <w:szCs w:val="24"/>
        </w:rPr>
        <w:t xml:space="preserve"> matéria prima para a produção </w:t>
      </w:r>
      <w:r>
        <w:rPr>
          <w:rFonts w:ascii="Times New Roman" w:hAnsi="Times New Roman" w:cs="Times New Roman"/>
          <w:sz w:val="24"/>
          <w:szCs w:val="24"/>
        </w:rPr>
        <w:t>de óleo de soja</w:t>
      </w:r>
      <w:r w:rsidRPr="004A343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71B9F">
        <w:rPr>
          <w:rFonts w:ascii="Times New Roman" w:hAnsi="Times New Roman" w:cs="Times New Roman"/>
          <w:sz w:val="24"/>
          <w:szCs w:val="24"/>
        </w:rPr>
        <w:t>Isto posto</w:t>
      </w:r>
      <w:proofErr w:type="gramEnd"/>
      <w:r>
        <w:rPr>
          <w:rFonts w:ascii="Times New Roman" w:hAnsi="Times New Roman" w:cs="Times New Roman"/>
          <w:sz w:val="24"/>
          <w:szCs w:val="24"/>
        </w:rPr>
        <w:t>, pode-se afirmar que a</w:t>
      </w:r>
      <w:r w:rsidR="007E1882">
        <w:rPr>
          <w:rFonts w:ascii="Times New Roman" w:hAnsi="Times New Roman" w:cs="Times New Roman"/>
          <w:sz w:val="24"/>
          <w:szCs w:val="24"/>
        </w:rPr>
        <w:t xml:space="preserve">pesar das especificidades </w:t>
      </w:r>
      <w:r>
        <w:rPr>
          <w:rFonts w:ascii="Times New Roman" w:hAnsi="Times New Roman" w:cs="Times New Roman"/>
          <w:sz w:val="24"/>
          <w:szCs w:val="24"/>
        </w:rPr>
        <w:t xml:space="preserve">locais de produção e </w:t>
      </w:r>
      <w:r w:rsidR="00D14E90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logística,</w:t>
      </w:r>
      <w:r w:rsidR="005A3439">
        <w:rPr>
          <w:rFonts w:ascii="Times New Roman" w:hAnsi="Times New Roman" w:cs="Times New Roman"/>
          <w:sz w:val="24"/>
          <w:szCs w:val="24"/>
        </w:rPr>
        <w:t xml:space="preserve"> </w:t>
      </w:r>
      <w:r w:rsidR="007E1882">
        <w:rPr>
          <w:rFonts w:ascii="Times New Roman" w:hAnsi="Times New Roman" w:cs="Times New Roman"/>
          <w:sz w:val="24"/>
          <w:szCs w:val="24"/>
        </w:rPr>
        <w:t>o desempenho recente da indústria gaúcha de óleos vegetais seguiu a mesma tendência observada nacionalme</w:t>
      </w:r>
      <w:r w:rsidR="00C0043C">
        <w:rPr>
          <w:rFonts w:ascii="Times New Roman" w:hAnsi="Times New Roman" w:cs="Times New Roman"/>
          <w:sz w:val="24"/>
          <w:szCs w:val="24"/>
        </w:rPr>
        <w:t>nte</w:t>
      </w:r>
      <w:r w:rsidR="007E1882">
        <w:rPr>
          <w:rFonts w:ascii="Times New Roman" w:hAnsi="Times New Roman" w:cs="Times New Roman"/>
          <w:sz w:val="24"/>
          <w:szCs w:val="24"/>
        </w:rPr>
        <w:t xml:space="preserve">. </w:t>
      </w:r>
      <w:r w:rsidR="008029B5">
        <w:rPr>
          <w:rFonts w:ascii="Times New Roman" w:hAnsi="Times New Roman" w:cs="Times New Roman"/>
          <w:sz w:val="24"/>
          <w:szCs w:val="24"/>
        </w:rPr>
        <w:t>A</w:t>
      </w:r>
      <w:r w:rsidR="005A3439">
        <w:rPr>
          <w:rFonts w:ascii="Times New Roman" w:hAnsi="Times New Roman" w:cs="Times New Roman"/>
          <w:sz w:val="24"/>
          <w:szCs w:val="24"/>
        </w:rPr>
        <w:t xml:space="preserve"> </w:t>
      </w:r>
      <w:r w:rsidR="008F142E">
        <w:rPr>
          <w:rFonts w:ascii="Times New Roman" w:hAnsi="Times New Roman" w:cs="Times New Roman"/>
          <w:sz w:val="24"/>
          <w:szCs w:val="24"/>
        </w:rPr>
        <w:t>parcela da safra do E</w:t>
      </w:r>
      <w:r w:rsidR="00DF6A0F">
        <w:rPr>
          <w:rFonts w:ascii="Times New Roman" w:hAnsi="Times New Roman" w:cs="Times New Roman"/>
          <w:sz w:val="24"/>
          <w:szCs w:val="24"/>
        </w:rPr>
        <w:t>stado que é exportada sob a forma de grão</w:t>
      </w:r>
      <w:r w:rsidR="00F97ECD">
        <w:rPr>
          <w:rFonts w:ascii="Times New Roman" w:hAnsi="Times New Roman" w:cs="Times New Roman"/>
          <w:sz w:val="24"/>
          <w:szCs w:val="24"/>
        </w:rPr>
        <w:t xml:space="preserve"> </w:t>
      </w:r>
      <w:r w:rsidR="00694E1C">
        <w:rPr>
          <w:rFonts w:ascii="Times New Roman" w:hAnsi="Times New Roman" w:cs="Times New Roman"/>
          <w:sz w:val="24"/>
          <w:szCs w:val="24"/>
        </w:rPr>
        <w:t>aumentou</w:t>
      </w:r>
      <w:r w:rsidR="00DF6A0F">
        <w:rPr>
          <w:rFonts w:ascii="Times New Roman" w:hAnsi="Times New Roman" w:cs="Times New Roman"/>
          <w:sz w:val="24"/>
          <w:szCs w:val="24"/>
        </w:rPr>
        <w:t>, passando de</w:t>
      </w:r>
      <w:r w:rsidR="00694E1C">
        <w:rPr>
          <w:rFonts w:ascii="Times New Roman" w:hAnsi="Times New Roman" w:cs="Times New Roman"/>
          <w:sz w:val="24"/>
          <w:szCs w:val="24"/>
        </w:rPr>
        <w:t xml:space="preserve"> </w:t>
      </w:r>
      <w:r w:rsidR="005A3439">
        <w:rPr>
          <w:rFonts w:ascii="Times New Roman" w:hAnsi="Times New Roman" w:cs="Times New Roman"/>
          <w:sz w:val="24"/>
          <w:szCs w:val="24"/>
        </w:rPr>
        <w:t xml:space="preserve">22% </w:t>
      </w:r>
      <w:r w:rsidR="00694E1C">
        <w:rPr>
          <w:rFonts w:ascii="Times New Roman" w:hAnsi="Times New Roman" w:cs="Times New Roman"/>
          <w:sz w:val="24"/>
          <w:szCs w:val="24"/>
        </w:rPr>
        <w:t xml:space="preserve">em 1997 para aproximadamente </w:t>
      </w:r>
      <w:r w:rsidR="0086031D" w:rsidRPr="0086031D">
        <w:rPr>
          <w:rFonts w:ascii="Times New Roman" w:hAnsi="Times New Roman" w:cs="Times New Roman"/>
          <w:sz w:val="24"/>
          <w:szCs w:val="24"/>
        </w:rPr>
        <w:t>46</w:t>
      </w:r>
      <w:r w:rsidR="00694E1C" w:rsidRPr="0086031D">
        <w:rPr>
          <w:rFonts w:ascii="Times New Roman" w:hAnsi="Times New Roman" w:cs="Times New Roman"/>
          <w:sz w:val="24"/>
          <w:szCs w:val="24"/>
        </w:rPr>
        <w:t>% em 201</w:t>
      </w:r>
      <w:r w:rsidR="0086031D" w:rsidRPr="0086031D">
        <w:rPr>
          <w:rFonts w:ascii="Times New Roman" w:hAnsi="Times New Roman" w:cs="Times New Roman"/>
          <w:sz w:val="24"/>
          <w:szCs w:val="24"/>
        </w:rPr>
        <w:t>0</w:t>
      </w:r>
      <w:r w:rsidR="00694E1C" w:rsidRPr="0086031D">
        <w:rPr>
          <w:rFonts w:ascii="Times New Roman" w:hAnsi="Times New Roman" w:cs="Times New Roman"/>
          <w:sz w:val="24"/>
          <w:szCs w:val="24"/>
        </w:rPr>
        <w:t xml:space="preserve">. </w:t>
      </w:r>
      <w:r w:rsidR="00130029" w:rsidRPr="0086031D">
        <w:rPr>
          <w:rFonts w:ascii="Times New Roman" w:hAnsi="Times New Roman" w:cs="Times New Roman"/>
          <w:sz w:val="24"/>
          <w:szCs w:val="24"/>
        </w:rPr>
        <w:t xml:space="preserve">Segundo </w:t>
      </w:r>
      <w:r w:rsidR="002B69A0">
        <w:rPr>
          <w:rFonts w:ascii="Times New Roman" w:hAnsi="Times New Roman" w:cs="Times New Roman"/>
          <w:sz w:val="24"/>
          <w:szCs w:val="24"/>
        </w:rPr>
        <w:t xml:space="preserve">dados </w:t>
      </w:r>
      <w:r w:rsidR="00D14E90">
        <w:rPr>
          <w:rFonts w:ascii="Times New Roman" w:hAnsi="Times New Roman" w:cs="Times New Roman"/>
          <w:sz w:val="24"/>
          <w:szCs w:val="24"/>
        </w:rPr>
        <w:t>do MDIC (</w:t>
      </w:r>
      <w:r w:rsidR="00CC20E7">
        <w:rPr>
          <w:rFonts w:ascii="Times New Roman" w:hAnsi="Times New Roman" w:cs="Times New Roman"/>
          <w:sz w:val="24"/>
          <w:szCs w:val="24"/>
        </w:rPr>
        <w:t>Brasil</w:t>
      </w:r>
      <w:r w:rsidR="00D14E90">
        <w:rPr>
          <w:rFonts w:ascii="Times New Roman" w:hAnsi="Times New Roman" w:cs="Times New Roman"/>
          <w:sz w:val="24"/>
          <w:szCs w:val="24"/>
        </w:rPr>
        <w:t xml:space="preserve">, </w:t>
      </w:r>
      <w:r w:rsidR="00CC20E7">
        <w:rPr>
          <w:rFonts w:ascii="Times New Roman" w:hAnsi="Times New Roman" w:cs="Times New Roman"/>
          <w:sz w:val="24"/>
          <w:szCs w:val="24"/>
        </w:rPr>
        <w:t>2012</w:t>
      </w:r>
      <w:r w:rsidR="0086031D" w:rsidRPr="0086031D">
        <w:rPr>
          <w:rFonts w:ascii="Times New Roman" w:hAnsi="Times New Roman" w:cs="Times New Roman"/>
          <w:sz w:val="24"/>
          <w:szCs w:val="24"/>
        </w:rPr>
        <w:t>), 83</w:t>
      </w:r>
      <w:r w:rsidR="00130029" w:rsidRPr="0086031D">
        <w:rPr>
          <w:rFonts w:ascii="Times New Roman" w:hAnsi="Times New Roman" w:cs="Times New Roman"/>
          <w:sz w:val="24"/>
          <w:szCs w:val="24"/>
        </w:rPr>
        <w:t xml:space="preserve">% do volume total das exportações de soja em grão </w:t>
      </w:r>
      <w:r w:rsidR="0034386F" w:rsidRPr="0086031D">
        <w:rPr>
          <w:rFonts w:ascii="Times New Roman" w:hAnsi="Times New Roman" w:cs="Times New Roman"/>
          <w:sz w:val="24"/>
          <w:szCs w:val="24"/>
        </w:rPr>
        <w:t>do Rio Grande do Sul</w:t>
      </w:r>
      <w:r w:rsidR="00130029" w:rsidRPr="0086031D">
        <w:rPr>
          <w:rFonts w:ascii="Times New Roman" w:hAnsi="Times New Roman" w:cs="Times New Roman"/>
          <w:sz w:val="24"/>
          <w:szCs w:val="24"/>
        </w:rPr>
        <w:t xml:space="preserve"> realizadas em 201</w:t>
      </w:r>
      <w:r w:rsidR="0086031D" w:rsidRPr="0086031D">
        <w:rPr>
          <w:rFonts w:ascii="Times New Roman" w:hAnsi="Times New Roman" w:cs="Times New Roman"/>
          <w:sz w:val="24"/>
          <w:szCs w:val="24"/>
        </w:rPr>
        <w:t>0</w:t>
      </w:r>
      <w:r w:rsidR="00130029" w:rsidRPr="0086031D">
        <w:rPr>
          <w:rFonts w:ascii="Times New Roman" w:hAnsi="Times New Roman" w:cs="Times New Roman"/>
          <w:sz w:val="24"/>
          <w:szCs w:val="24"/>
        </w:rPr>
        <w:t xml:space="preserve"> tiveram como </w:t>
      </w:r>
      <w:r w:rsidR="00EF37CE" w:rsidRPr="0086031D">
        <w:rPr>
          <w:rFonts w:ascii="Times New Roman" w:hAnsi="Times New Roman" w:cs="Times New Roman"/>
          <w:sz w:val="24"/>
          <w:szCs w:val="24"/>
        </w:rPr>
        <w:t xml:space="preserve">destino </w:t>
      </w:r>
      <w:r w:rsidR="00DF6A0F" w:rsidRPr="0086031D">
        <w:rPr>
          <w:rFonts w:ascii="Times New Roman" w:hAnsi="Times New Roman" w:cs="Times New Roman"/>
          <w:sz w:val="24"/>
          <w:szCs w:val="24"/>
        </w:rPr>
        <w:t>o mercado</w:t>
      </w:r>
      <w:r w:rsidR="00DF6A0F">
        <w:rPr>
          <w:rFonts w:ascii="Times New Roman" w:hAnsi="Times New Roman" w:cs="Times New Roman"/>
          <w:sz w:val="24"/>
          <w:szCs w:val="24"/>
        </w:rPr>
        <w:t xml:space="preserve"> chinês</w:t>
      </w:r>
      <w:r w:rsidR="00130029">
        <w:rPr>
          <w:rFonts w:ascii="Times New Roman" w:hAnsi="Times New Roman" w:cs="Times New Roman"/>
          <w:sz w:val="24"/>
          <w:szCs w:val="24"/>
        </w:rPr>
        <w:t xml:space="preserve">. </w:t>
      </w:r>
      <w:r w:rsidR="00343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029" w:rsidRDefault="009F5853" w:rsidP="001300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avaliação do </w:t>
      </w:r>
      <w:r w:rsidR="00421B00">
        <w:rPr>
          <w:rFonts w:ascii="Times New Roman" w:hAnsi="Times New Roman" w:cs="Times New Roman"/>
          <w:sz w:val="24"/>
          <w:szCs w:val="24"/>
        </w:rPr>
        <w:t xml:space="preserve">balanço de oferta e demanda do </w:t>
      </w:r>
      <w:proofErr w:type="gramStart"/>
      <w:r w:rsidR="00421B00">
        <w:rPr>
          <w:rFonts w:ascii="Times New Roman" w:hAnsi="Times New Roman" w:cs="Times New Roman"/>
          <w:sz w:val="24"/>
          <w:szCs w:val="24"/>
        </w:rPr>
        <w:t>complexo s</w:t>
      </w:r>
      <w:r>
        <w:rPr>
          <w:rFonts w:ascii="Times New Roman" w:hAnsi="Times New Roman" w:cs="Times New Roman"/>
          <w:sz w:val="24"/>
          <w:szCs w:val="24"/>
        </w:rPr>
        <w:t>oja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gaúcho permite inferir que a oferta de óleo para produção de biodiesel </w:t>
      </w:r>
      <w:r w:rsidR="00E12773">
        <w:rPr>
          <w:rFonts w:ascii="Times New Roman" w:hAnsi="Times New Roman" w:cs="Times New Roman"/>
          <w:sz w:val="24"/>
          <w:szCs w:val="24"/>
        </w:rPr>
        <w:t>apresenta limitações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A0F">
        <w:rPr>
          <w:rFonts w:ascii="Times New Roman" w:hAnsi="Times New Roman" w:cs="Times New Roman"/>
          <w:sz w:val="24"/>
          <w:szCs w:val="24"/>
        </w:rPr>
        <w:t xml:space="preserve"> </w:t>
      </w:r>
      <w:r w:rsidR="00BB5860">
        <w:rPr>
          <w:rFonts w:ascii="Times New Roman" w:hAnsi="Times New Roman" w:cs="Times New Roman"/>
          <w:sz w:val="24"/>
          <w:szCs w:val="24"/>
        </w:rPr>
        <w:t>Estima-se que em 2010 o E</w:t>
      </w:r>
      <w:r w:rsidR="009619DE">
        <w:rPr>
          <w:rFonts w:ascii="Times New Roman" w:hAnsi="Times New Roman" w:cs="Times New Roman"/>
          <w:sz w:val="24"/>
          <w:szCs w:val="24"/>
        </w:rPr>
        <w:t xml:space="preserve">stado </w:t>
      </w:r>
      <w:r w:rsidR="00AE4AB3">
        <w:rPr>
          <w:rFonts w:ascii="Times New Roman" w:hAnsi="Times New Roman" w:cs="Times New Roman"/>
          <w:sz w:val="24"/>
          <w:szCs w:val="24"/>
        </w:rPr>
        <w:t xml:space="preserve">processou </w:t>
      </w:r>
      <w:r w:rsidR="009619DE">
        <w:rPr>
          <w:rFonts w:ascii="Times New Roman" w:hAnsi="Times New Roman" w:cs="Times New Roman"/>
          <w:sz w:val="24"/>
          <w:szCs w:val="24"/>
        </w:rPr>
        <w:t xml:space="preserve">pouco mais da metade da sua safra de soja, </w:t>
      </w:r>
      <w:r w:rsidR="00E12773">
        <w:rPr>
          <w:rFonts w:ascii="Times New Roman" w:hAnsi="Times New Roman" w:cs="Times New Roman"/>
          <w:sz w:val="24"/>
          <w:szCs w:val="24"/>
        </w:rPr>
        <w:t xml:space="preserve">o que gerou </w:t>
      </w:r>
      <w:r w:rsidR="006A65F4">
        <w:rPr>
          <w:rFonts w:ascii="Times New Roman" w:hAnsi="Times New Roman" w:cs="Times New Roman"/>
          <w:sz w:val="24"/>
          <w:szCs w:val="24"/>
        </w:rPr>
        <w:t>1,03</w:t>
      </w:r>
      <w:r w:rsidR="00E12773">
        <w:rPr>
          <w:rFonts w:ascii="Times New Roman" w:hAnsi="Times New Roman" w:cs="Times New Roman"/>
          <w:sz w:val="24"/>
          <w:szCs w:val="24"/>
        </w:rPr>
        <w:t xml:space="preserve"> mil</w:t>
      </w:r>
      <w:r w:rsidR="006A65F4">
        <w:rPr>
          <w:rFonts w:ascii="Times New Roman" w:hAnsi="Times New Roman" w:cs="Times New Roman"/>
          <w:sz w:val="24"/>
          <w:szCs w:val="24"/>
        </w:rPr>
        <w:t>hões de</w:t>
      </w:r>
      <w:r w:rsidR="009619DE">
        <w:rPr>
          <w:rFonts w:ascii="Times New Roman" w:hAnsi="Times New Roman" w:cs="Times New Roman"/>
          <w:sz w:val="24"/>
          <w:szCs w:val="24"/>
        </w:rPr>
        <w:t xml:space="preserve"> toneladas de óleo. Desta produção, aproximadamente </w:t>
      </w:r>
      <w:r w:rsidR="002A7365">
        <w:rPr>
          <w:rFonts w:ascii="Times New Roman" w:hAnsi="Times New Roman" w:cs="Times New Roman"/>
          <w:sz w:val="24"/>
          <w:szCs w:val="24"/>
        </w:rPr>
        <w:t>5</w:t>
      </w:r>
      <w:r w:rsidR="00B9743C">
        <w:rPr>
          <w:rFonts w:ascii="Times New Roman" w:hAnsi="Times New Roman" w:cs="Times New Roman"/>
          <w:sz w:val="24"/>
          <w:szCs w:val="24"/>
        </w:rPr>
        <w:t>90</w:t>
      </w:r>
      <w:r w:rsidR="002A7365">
        <w:rPr>
          <w:rFonts w:ascii="Times New Roman" w:hAnsi="Times New Roman" w:cs="Times New Roman"/>
          <w:sz w:val="24"/>
          <w:szCs w:val="24"/>
        </w:rPr>
        <w:t xml:space="preserve"> </w:t>
      </w:r>
      <w:r w:rsidR="009619DE">
        <w:rPr>
          <w:rFonts w:ascii="Times New Roman" w:hAnsi="Times New Roman" w:cs="Times New Roman"/>
          <w:sz w:val="24"/>
          <w:szCs w:val="24"/>
        </w:rPr>
        <w:t>mil toneladas foram abs</w:t>
      </w:r>
      <w:r w:rsidR="00BB5860">
        <w:rPr>
          <w:rFonts w:ascii="Times New Roman" w:hAnsi="Times New Roman" w:cs="Times New Roman"/>
          <w:sz w:val="24"/>
          <w:szCs w:val="24"/>
        </w:rPr>
        <w:t>orvidas pelo mercado interno n</w:t>
      </w:r>
      <w:r w:rsidR="009619DE">
        <w:rPr>
          <w:rFonts w:ascii="Times New Roman" w:hAnsi="Times New Roman" w:cs="Times New Roman"/>
          <w:sz w:val="24"/>
          <w:szCs w:val="24"/>
        </w:rPr>
        <w:t>a fabr</w:t>
      </w:r>
      <w:r w:rsidR="00B9743C">
        <w:rPr>
          <w:rFonts w:ascii="Times New Roman" w:hAnsi="Times New Roman" w:cs="Times New Roman"/>
          <w:sz w:val="24"/>
          <w:szCs w:val="24"/>
        </w:rPr>
        <w:t>icação de biodiesel (522</w:t>
      </w:r>
      <w:r w:rsidR="00E12773">
        <w:rPr>
          <w:rFonts w:ascii="Times New Roman" w:hAnsi="Times New Roman" w:cs="Times New Roman"/>
          <w:sz w:val="24"/>
          <w:szCs w:val="24"/>
        </w:rPr>
        <w:t xml:space="preserve"> </w:t>
      </w:r>
      <w:r w:rsidR="00D71B9F">
        <w:rPr>
          <w:rFonts w:ascii="Times New Roman" w:hAnsi="Times New Roman" w:cs="Times New Roman"/>
          <w:sz w:val="24"/>
          <w:szCs w:val="24"/>
        </w:rPr>
        <w:t>mil toneladas) e</w:t>
      </w:r>
      <w:r w:rsidR="009619DE">
        <w:rPr>
          <w:rFonts w:ascii="Times New Roman" w:hAnsi="Times New Roman" w:cs="Times New Roman"/>
          <w:sz w:val="24"/>
          <w:szCs w:val="24"/>
        </w:rPr>
        <w:t xml:space="preserve"> óleo refinado para alimentação humana e outros usos (</w:t>
      </w:r>
      <w:r w:rsidR="00B9743C">
        <w:rPr>
          <w:rFonts w:ascii="Times New Roman" w:hAnsi="Times New Roman" w:cs="Times New Roman"/>
          <w:sz w:val="24"/>
          <w:szCs w:val="24"/>
        </w:rPr>
        <w:t>69</w:t>
      </w:r>
      <w:r w:rsidR="009619DE">
        <w:rPr>
          <w:rFonts w:ascii="Times New Roman" w:hAnsi="Times New Roman" w:cs="Times New Roman"/>
          <w:sz w:val="24"/>
          <w:szCs w:val="24"/>
        </w:rPr>
        <w:t xml:space="preserve"> mil toneladas).</w:t>
      </w:r>
      <w:r w:rsidR="00AE4AB3">
        <w:rPr>
          <w:rFonts w:ascii="Times New Roman" w:hAnsi="Times New Roman" w:cs="Times New Roman"/>
          <w:sz w:val="24"/>
          <w:szCs w:val="24"/>
        </w:rPr>
        <w:t xml:space="preserve"> As </w:t>
      </w:r>
      <w:r w:rsidR="00E12773">
        <w:rPr>
          <w:rFonts w:ascii="Times New Roman" w:hAnsi="Times New Roman" w:cs="Times New Roman"/>
          <w:sz w:val="24"/>
          <w:szCs w:val="24"/>
        </w:rPr>
        <w:t>439</w:t>
      </w:r>
      <w:r w:rsidR="00B32CBF">
        <w:rPr>
          <w:rFonts w:ascii="Times New Roman" w:hAnsi="Times New Roman" w:cs="Times New Roman"/>
          <w:sz w:val="24"/>
          <w:szCs w:val="24"/>
        </w:rPr>
        <w:t xml:space="preserve"> </w:t>
      </w:r>
      <w:r w:rsidR="00AE4AB3">
        <w:rPr>
          <w:rFonts w:ascii="Times New Roman" w:hAnsi="Times New Roman" w:cs="Times New Roman"/>
          <w:sz w:val="24"/>
          <w:szCs w:val="24"/>
        </w:rPr>
        <w:t>mil toneladas</w:t>
      </w:r>
      <w:r w:rsidR="009619DE">
        <w:rPr>
          <w:rFonts w:ascii="Times New Roman" w:hAnsi="Times New Roman" w:cs="Times New Roman"/>
          <w:sz w:val="24"/>
          <w:szCs w:val="24"/>
        </w:rPr>
        <w:t xml:space="preserve"> restante</w:t>
      </w:r>
      <w:r w:rsidR="00AE4AB3">
        <w:rPr>
          <w:rFonts w:ascii="Times New Roman" w:hAnsi="Times New Roman" w:cs="Times New Roman"/>
          <w:sz w:val="24"/>
          <w:szCs w:val="24"/>
        </w:rPr>
        <w:t>s</w:t>
      </w:r>
      <w:r w:rsidR="009619DE">
        <w:rPr>
          <w:rFonts w:ascii="Times New Roman" w:hAnsi="Times New Roman" w:cs="Times New Roman"/>
          <w:sz w:val="24"/>
          <w:szCs w:val="24"/>
        </w:rPr>
        <w:t xml:space="preserve"> </w:t>
      </w:r>
      <w:r w:rsidR="00AE4AB3">
        <w:rPr>
          <w:rFonts w:ascii="Times New Roman" w:hAnsi="Times New Roman" w:cs="Times New Roman"/>
          <w:sz w:val="24"/>
          <w:szCs w:val="24"/>
        </w:rPr>
        <w:t>foram</w:t>
      </w:r>
      <w:r w:rsidR="009619DE">
        <w:rPr>
          <w:rFonts w:ascii="Times New Roman" w:hAnsi="Times New Roman" w:cs="Times New Roman"/>
          <w:sz w:val="24"/>
          <w:szCs w:val="24"/>
        </w:rPr>
        <w:t xml:space="preserve"> exportada</w:t>
      </w:r>
      <w:r w:rsidR="00AE4AB3">
        <w:rPr>
          <w:rFonts w:ascii="Times New Roman" w:hAnsi="Times New Roman" w:cs="Times New Roman"/>
          <w:sz w:val="24"/>
          <w:szCs w:val="24"/>
        </w:rPr>
        <w:t>s</w:t>
      </w:r>
      <w:r w:rsidR="002B69A0">
        <w:rPr>
          <w:rFonts w:ascii="Times New Roman" w:hAnsi="Times New Roman" w:cs="Times New Roman"/>
          <w:sz w:val="24"/>
          <w:szCs w:val="24"/>
        </w:rPr>
        <w:t xml:space="preserve"> (Figura 4</w:t>
      </w:r>
      <w:r w:rsidR="009619DE">
        <w:rPr>
          <w:rFonts w:ascii="Times New Roman" w:hAnsi="Times New Roman" w:cs="Times New Roman"/>
          <w:sz w:val="24"/>
          <w:szCs w:val="24"/>
        </w:rPr>
        <w:t>).</w:t>
      </w:r>
    </w:p>
    <w:p w:rsidR="00A45DC5" w:rsidRDefault="00A45DC5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B3" w:rsidRDefault="004001B3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B3" w:rsidRDefault="004001B3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B3" w:rsidRDefault="004001B3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1B3" w:rsidRDefault="004001B3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9A0" w:rsidRDefault="002B69A0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Figura 4</w:t>
      </w:r>
      <w:r w:rsidR="006B36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9A0" w:rsidRDefault="002B69A0" w:rsidP="002B6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1FA" w:rsidRDefault="002B69A0" w:rsidP="002B6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21B00">
        <w:rPr>
          <w:rFonts w:ascii="Times New Roman" w:hAnsi="Times New Roman" w:cs="Times New Roman"/>
          <w:sz w:val="24"/>
          <w:szCs w:val="24"/>
        </w:rPr>
        <w:t xml:space="preserve">alanço de oferta e demanda do </w:t>
      </w:r>
      <w:proofErr w:type="gramStart"/>
      <w:r w:rsidR="00421B00">
        <w:rPr>
          <w:rFonts w:ascii="Times New Roman" w:hAnsi="Times New Roman" w:cs="Times New Roman"/>
          <w:sz w:val="24"/>
          <w:szCs w:val="24"/>
        </w:rPr>
        <w:t>complexo s</w:t>
      </w:r>
      <w:r w:rsidR="00FC31FA">
        <w:rPr>
          <w:rFonts w:ascii="Times New Roman" w:hAnsi="Times New Roman" w:cs="Times New Roman"/>
          <w:sz w:val="24"/>
          <w:szCs w:val="24"/>
        </w:rPr>
        <w:t>oja</w:t>
      </w:r>
      <w:proofErr w:type="gramEnd"/>
      <w:r w:rsidR="00FC31FA">
        <w:rPr>
          <w:rFonts w:ascii="Times New Roman" w:hAnsi="Times New Roman" w:cs="Times New Roman"/>
          <w:sz w:val="24"/>
          <w:szCs w:val="24"/>
        </w:rPr>
        <w:t xml:space="preserve"> no Rio Grande do Sul – 2010</w:t>
      </w:r>
      <w:r w:rsidR="007227FD">
        <w:rPr>
          <w:rFonts w:ascii="Times New Roman" w:hAnsi="Times New Roman" w:cs="Times New Roman"/>
          <w:sz w:val="24"/>
          <w:szCs w:val="24"/>
        </w:rPr>
        <w:t xml:space="preserve"> (em milhões de toneladas)</w:t>
      </w:r>
    </w:p>
    <w:p w:rsidR="002B69A0" w:rsidRDefault="002B69A0" w:rsidP="002B6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65F4" w:rsidRDefault="006A65F4" w:rsidP="00FC31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5F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854604"/>
            <wp:effectExtent l="19050" t="0" r="0" b="0"/>
            <wp:docPr id="5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43875" cy="4305423"/>
                      <a:chOff x="214313" y="1571849"/>
                      <a:chExt cx="8143875" cy="4305423"/>
                    </a:xfrm>
                  </a:grpSpPr>
                  <a:sp>
                    <a:nvSpPr>
                      <a:cNvPr id="4" name="AutoShape 3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14313" y="1571849"/>
                        <a:ext cx="1589087" cy="4305423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64008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Safra 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10,2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5" name="AutoShape 5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313710" y="1571849"/>
                        <a:ext cx="1857375" cy="2339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64008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Processamento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5,4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6" name="AutoShape 6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97400" y="1571849"/>
                        <a:ext cx="1046163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64008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Farelo</a:t>
                          </a: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4.1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AutoShape 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26163" y="2175099"/>
                        <a:ext cx="2232025" cy="5397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6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Disponibilidade Interna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1,6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8" name="AutoShape 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22988" y="1571849"/>
                        <a:ext cx="2232025" cy="536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6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Exportações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2,5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9" name="AutoShape 9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4597400" y="2786286"/>
                        <a:ext cx="1046163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64008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endParaRPr lang="pt-BR" sz="1400" b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Óleo</a:t>
                          </a: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1,03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lnSpc>
                              <a:spcPct val="130000"/>
                            </a:lnSpc>
                            <a:defRPr/>
                          </a:pP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" name="Seta para a direita 62"/>
                      <a:cNvSpPr>
                        <a:spLocks noChangeArrowheads="1"/>
                      </a:cNvSpPr>
                    </a:nvSpPr>
                    <a:spPr bwMode="auto">
                      <a:xfrm>
                        <a:off x="4242523" y="1760761"/>
                        <a:ext cx="360362" cy="733663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Seta para a direita 64"/>
                      <a:cNvSpPr>
                        <a:spLocks noChangeArrowheads="1"/>
                      </a:cNvSpPr>
                    </a:nvSpPr>
                    <a:spPr bwMode="auto">
                      <a:xfrm>
                        <a:off x="4242523" y="2903761"/>
                        <a:ext cx="360362" cy="733663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6" name="Seta para a direita 66"/>
                      <a:cNvSpPr>
                        <a:spLocks noChangeArrowheads="1"/>
                      </a:cNvSpPr>
                    </a:nvSpPr>
                    <a:spPr bwMode="auto">
                      <a:xfrm>
                        <a:off x="1866387" y="2420888"/>
                        <a:ext cx="431800" cy="733663"/>
                      </a:xfrm>
                      <a:prstGeom prst="rightArrow">
                        <a:avLst>
                          <a:gd name="adj1" fmla="val 50000"/>
                          <a:gd name="adj2" fmla="val 41667"/>
                        </a:avLst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AutoShape 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26163" y="3389536"/>
                        <a:ext cx="2232025" cy="5397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pt-BR" sz="1400" b="1" dirty="0">
                              <a:latin typeface="Times New Roman" pitchFamily="18" charset="0"/>
                              <a:cs typeface="Times New Roman" pitchFamily="18" charset="0"/>
                            </a:rPr>
                            <a:t>Disponibilidade </a:t>
                          </a: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Interna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0,59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AutoShape 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122988" y="2786286"/>
                        <a:ext cx="2232025" cy="536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Exportações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0,44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AutoShape 8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2337019" y="4077072"/>
                        <a:ext cx="1858353" cy="1715641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Exportação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4,7</a:t>
                          </a: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Seta para a direita 62"/>
                      <a:cNvSpPr>
                        <a:spLocks noChangeArrowheads="1"/>
                      </a:cNvSpPr>
                    </a:nvSpPr>
                    <a:spPr bwMode="auto">
                      <a:xfrm>
                        <a:off x="5736506" y="1646196"/>
                        <a:ext cx="360362" cy="5400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AutoShape 7"/>
                      <a:cNvSpPr>
                        <a:spLocks noChangeAspect="1" noChangeArrowheads="1"/>
                      </a:cNvSpPr>
                    </a:nvSpPr>
                    <a:spPr bwMode="auto">
                      <a:xfrm>
                        <a:off x="6905972" y="4076849"/>
                        <a:ext cx="1410444" cy="5397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9050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chemeClr val="tx2"/>
                        </a:outerShdw>
                      </a:effectLst>
                    </a:spPr>
                    <a:txSp>
                      <a:txBody>
                        <a:bodyPr lIns="64008" tIns="64008" rIns="64008" bIns="28800" anchor="ctr"/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pt-BR" sz="1400" b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Biodiesel</a:t>
                          </a:r>
                        </a:p>
                        <a:p>
                          <a:pPr algn="ctr">
                            <a:defRPr/>
                          </a:pPr>
                          <a:r>
                            <a:rPr lang="pt-BR" sz="14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0,52</a:t>
                          </a:r>
                          <a:endParaRPr lang="pt-BR" sz="1400" b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pt-BR" sz="1400" b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>
                            <a:defRPr/>
                          </a:pPr>
                          <a:endParaRPr lang="pt-BR" sz="1400" b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" name="Seta dobrada para cima 27"/>
                      <a:cNvSpPr/>
                    </a:nvSpPr>
                    <a:spPr bwMode="auto">
                      <a:xfrm rot="5400000">
                        <a:off x="6351494" y="3946035"/>
                        <a:ext cx="511560" cy="588764"/>
                      </a:xfrm>
                      <a:prstGeom prst="bentUpArrow">
                        <a:avLst>
                          <a:gd name="adj1" fmla="val 25000"/>
                          <a:gd name="adj2" fmla="val 26736"/>
                          <a:gd name="adj3" fmla="val 25000"/>
                        </a:avLst>
                      </a:prstGeom>
                      <a:solidFill>
                        <a:schemeClr val="tx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indent="0" algn="ctr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t-BR" sz="20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1" name="Seta para a direita 62"/>
                      <a:cNvSpPr>
                        <a:spLocks noChangeArrowheads="1"/>
                      </a:cNvSpPr>
                    </a:nvSpPr>
                    <a:spPr bwMode="auto">
                      <a:xfrm>
                        <a:off x="5724128" y="2213218"/>
                        <a:ext cx="360362" cy="5400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2" name="Seta para a direita 62"/>
                      <a:cNvSpPr>
                        <a:spLocks noChangeArrowheads="1"/>
                      </a:cNvSpPr>
                    </a:nvSpPr>
                    <a:spPr bwMode="auto">
                      <a:xfrm>
                        <a:off x="5739239" y="2826034"/>
                        <a:ext cx="360362" cy="5400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3" name="Seta para a direita 62"/>
                      <a:cNvSpPr>
                        <a:spLocks noChangeArrowheads="1"/>
                      </a:cNvSpPr>
                    </a:nvSpPr>
                    <a:spPr bwMode="auto">
                      <a:xfrm>
                        <a:off x="5726861" y="3393056"/>
                        <a:ext cx="360362" cy="540000"/>
                      </a:xfrm>
                      <a:prstGeom prst="rightArrow">
                        <a:avLst>
                          <a:gd name="adj1" fmla="val 50000"/>
                          <a:gd name="adj2" fmla="val 50000"/>
                        </a:avLst>
                      </a:prstGeom>
                      <a:solidFill>
                        <a:schemeClr val="tx1"/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30" name="Seta para a direita 66"/>
                      <a:cNvSpPr>
                        <a:spLocks noChangeArrowheads="1"/>
                      </a:cNvSpPr>
                    </a:nvSpPr>
                    <a:spPr bwMode="auto">
                      <a:xfrm>
                        <a:off x="1866387" y="4639553"/>
                        <a:ext cx="431800" cy="733663"/>
                      </a:xfrm>
                      <a:prstGeom prst="rightArrow">
                        <a:avLst>
                          <a:gd name="adj1" fmla="val 50000"/>
                          <a:gd name="adj2" fmla="val 41667"/>
                        </a:avLst>
                      </a:prstGeom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n w="9525" algn="ctr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pt-B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pt-BR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E4AB3" w:rsidRDefault="00FC31FA" w:rsidP="00A45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</w:t>
      </w:r>
      <w:r w:rsidR="003D43E4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5DC5">
        <w:rPr>
          <w:rFonts w:ascii="Times New Roman" w:hAnsi="Times New Roman" w:cs="Times New Roman"/>
          <w:sz w:val="24"/>
          <w:szCs w:val="24"/>
        </w:rPr>
        <w:t>2011</w:t>
      </w:r>
      <w:r w:rsidR="002B69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),</w:t>
      </w:r>
      <w:r w:rsidR="00A45DC5">
        <w:rPr>
          <w:rFonts w:ascii="Times New Roman" w:hAnsi="Times New Roman" w:cs="Times New Roman"/>
          <w:sz w:val="24"/>
          <w:szCs w:val="24"/>
        </w:rPr>
        <w:t xml:space="preserve"> </w:t>
      </w:r>
      <w:r w:rsidR="003D43E4">
        <w:rPr>
          <w:rFonts w:ascii="Times New Roman" w:hAnsi="Times New Roman" w:cs="Times New Roman"/>
          <w:sz w:val="24"/>
          <w:szCs w:val="24"/>
        </w:rPr>
        <w:t>Brasil</w:t>
      </w:r>
      <w:r w:rsidR="00CC20E7">
        <w:rPr>
          <w:rFonts w:ascii="Times New Roman" w:hAnsi="Times New Roman" w:cs="Times New Roman"/>
          <w:sz w:val="24"/>
          <w:szCs w:val="24"/>
        </w:rPr>
        <w:t xml:space="preserve"> (2012</w:t>
      </w:r>
      <w:r w:rsidR="00A45D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ANP (</w:t>
      </w:r>
      <w:r w:rsidR="00A45DC5">
        <w:rPr>
          <w:rFonts w:ascii="Times New Roman" w:hAnsi="Times New Roman" w:cs="Times New Roman"/>
          <w:sz w:val="24"/>
          <w:szCs w:val="24"/>
        </w:rPr>
        <w:t>2011a</w:t>
      </w:r>
      <w:r>
        <w:rPr>
          <w:rFonts w:ascii="Times New Roman" w:hAnsi="Times New Roman" w:cs="Times New Roman"/>
          <w:sz w:val="24"/>
          <w:szCs w:val="24"/>
        </w:rPr>
        <w:t>) e estimativas do autor</w:t>
      </w:r>
      <w:r w:rsidR="00A45D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C5" w:rsidRDefault="00A45DC5" w:rsidP="00A45DC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2D7B" w:rsidRDefault="00B32CBF" w:rsidP="00AA0C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do crescimento </w:t>
      </w:r>
      <w:r w:rsidR="00D965DD">
        <w:rPr>
          <w:rFonts w:ascii="Times New Roman" w:hAnsi="Times New Roman" w:cs="Times New Roman"/>
          <w:sz w:val="24"/>
          <w:szCs w:val="24"/>
        </w:rPr>
        <w:t xml:space="preserve">absoluto </w:t>
      </w:r>
      <w:r>
        <w:rPr>
          <w:rFonts w:ascii="Times New Roman" w:hAnsi="Times New Roman" w:cs="Times New Roman"/>
          <w:sz w:val="24"/>
          <w:szCs w:val="24"/>
        </w:rPr>
        <w:t>da safra e do esmagamento de soja, a</w:t>
      </w:r>
      <w:r w:rsidRPr="00B32CBF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expo</w:t>
      </w:r>
      <w:r w:rsidR="00D965DD">
        <w:rPr>
          <w:rFonts w:ascii="Times New Roman" w:hAnsi="Times New Roman" w:cs="Times New Roman"/>
          <w:sz w:val="24"/>
          <w:szCs w:val="24"/>
        </w:rPr>
        <w:t>rtações gaúchas de óleo bruto</w:t>
      </w:r>
      <w:r>
        <w:rPr>
          <w:rFonts w:ascii="Times New Roman" w:hAnsi="Times New Roman" w:cs="Times New Roman"/>
          <w:sz w:val="24"/>
          <w:szCs w:val="24"/>
        </w:rPr>
        <w:t xml:space="preserve"> diminuíram </w:t>
      </w:r>
      <w:r w:rsidR="00A762DD">
        <w:rPr>
          <w:rFonts w:ascii="Times New Roman" w:hAnsi="Times New Roman" w:cs="Times New Roman"/>
          <w:sz w:val="24"/>
          <w:szCs w:val="24"/>
        </w:rPr>
        <w:t xml:space="preserve">em mais de 37% </w:t>
      </w:r>
      <w:r>
        <w:rPr>
          <w:rFonts w:ascii="Times New Roman" w:hAnsi="Times New Roman" w:cs="Times New Roman"/>
          <w:sz w:val="24"/>
          <w:szCs w:val="24"/>
        </w:rPr>
        <w:t>desde o início da produção de biodiesel no estado</w:t>
      </w:r>
      <w:r w:rsidR="00A762DD">
        <w:rPr>
          <w:rFonts w:ascii="Times New Roman" w:hAnsi="Times New Roman" w:cs="Times New Roman"/>
          <w:sz w:val="24"/>
          <w:szCs w:val="24"/>
        </w:rPr>
        <w:t xml:space="preserve"> (2006-2010)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62DD">
        <w:rPr>
          <w:rFonts w:ascii="Times New Roman" w:hAnsi="Times New Roman" w:cs="Times New Roman"/>
          <w:sz w:val="24"/>
          <w:szCs w:val="24"/>
        </w:rPr>
        <w:t>Isso sinaliza que a utilização do produto para produção do biocombustível tem apresentado vantagens remuner</w:t>
      </w:r>
      <w:r w:rsidR="00AA0CD6">
        <w:rPr>
          <w:rFonts w:ascii="Times New Roman" w:hAnsi="Times New Roman" w:cs="Times New Roman"/>
          <w:sz w:val="24"/>
          <w:szCs w:val="24"/>
        </w:rPr>
        <w:t xml:space="preserve">atórias em relação à exportação e que </w:t>
      </w:r>
      <w:r w:rsidR="003473C0">
        <w:rPr>
          <w:rFonts w:ascii="Times New Roman" w:hAnsi="Times New Roman" w:cs="Times New Roman"/>
          <w:sz w:val="24"/>
          <w:szCs w:val="24"/>
        </w:rPr>
        <w:t xml:space="preserve">o </w:t>
      </w:r>
      <w:r w:rsidR="00D965DD">
        <w:rPr>
          <w:rFonts w:ascii="Times New Roman" w:hAnsi="Times New Roman" w:cs="Times New Roman"/>
          <w:sz w:val="24"/>
          <w:szCs w:val="24"/>
        </w:rPr>
        <w:t xml:space="preserve">possível </w:t>
      </w:r>
      <w:r w:rsidR="003473C0">
        <w:rPr>
          <w:rFonts w:ascii="Times New Roman" w:hAnsi="Times New Roman" w:cs="Times New Roman"/>
          <w:sz w:val="24"/>
          <w:szCs w:val="24"/>
        </w:rPr>
        <w:t xml:space="preserve">aumento da demanda </w:t>
      </w:r>
      <w:r w:rsidR="008F651F">
        <w:rPr>
          <w:rFonts w:ascii="Times New Roman" w:hAnsi="Times New Roman" w:cs="Times New Roman"/>
          <w:sz w:val="24"/>
          <w:szCs w:val="24"/>
        </w:rPr>
        <w:t xml:space="preserve">motivado </w:t>
      </w:r>
      <w:r w:rsidR="003473C0">
        <w:rPr>
          <w:rFonts w:ascii="Times New Roman" w:hAnsi="Times New Roman" w:cs="Times New Roman"/>
          <w:sz w:val="24"/>
          <w:szCs w:val="24"/>
        </w:rPr>
        <w:t xml:space="preserve">por alterações </w:t>
      </w:r>
      <w:r w:rsidR="001709E8">
        <w:rPr>
          <w:rFonts w:ascii="Times New Roman" w:hAnsi="Times New Roman" w:cs="Times New Roman"/>
          <w:sz w:val="24"/>
          <w:szCs w:val="24"/>
        </w:rPr>
        <w:t xml:space="preserve">na mistura mandatória </w:t>
      </w:r>
      <w:r w:rsidR="00AA0CD6">
        <w:rPr>
          <w:rFonts w:ascii="Times New Roman" w:hAnsi="Times New Roman" w:cs="Times New Roman"/>
          <w:sz w:val="24"/>
          <w:szCs w:val="24"/>
        </w:rPr>
        <w:t>tende</w:t>
      </w:r>
      <w:r w:rsidR="00A65E85">
        <w:rPr>
          <w:rFonts w:ascii="Times New Roman" w:hAnsi="Times New Roman" w:cs="Times New Roman"/>
          <w:sz w:val="24"/>
          <w:szCs w:val="24"/>
        </w:rPr>
        <w:t xml:space="preserve"> </w:t>
      </w:r>
      <w:r w:rsidR="00D71B9F">
        <w:rPr>
          <w:rFonts w:ascii="Times New Roman" w:hAnsi="Times New Roman" w:cs="Times New Roman"/>
          <w:sz w:val="24"/>
          <w:szCs w:val="24"/>
        </w:rPr>
        <w:t xml:space="preserve">a </w:t>
      </w:r>
      <w:r w:rsidR="001709E8">
        <w:rPr>
          <w:rFonts w:ascii="Times New Roman" w:hAnsi="Times New Roman" w:cs="Times New Roman"/>
          <w:sz w:val="24"/>
          <w:szCs w:val="24"/>
        </w:rPr>
        <w:t>contribuir para o deslocamento de</w:t>
      </w:r>
      <w:r w:rsidR="00A65E85">
        <w:rPr>
          <w:rFonts w:ascii="Times New Roman" w:hAnsi="Times New Roman" w:cs="Times New Roman"/>
          <w:sz w:val="24"/>
          <w:szCs w:val="24"/>
        </w:rPr>
        <w:t xml:space="preserve"> parte da exportação </w:t>
      </w:r>
      <w:r w:rsidR="00766B34">
        <w:rPr>
          <w:rFonts w:ascii="Times New Roman" w:hAnsi="Times New Roman" w:cs="Times New Roman"/>
          <w:sz w:val="24"/>
          <w:szCs w:val="24"/>
        </w:rPr>
        <w:t xml:space="preserve">do óleo </w:t>
      </w:r>
      <w:r w:rsidR="001709E8">
        <w:rPr>
          <w:rFonts w:ascii="Times New Roman" w:hAnsi="Times New Roman" w:cs="Times New Roman"/>
          <w:sz w:val="24"/>
          <w:szCs w:val="24"/>
        </w:rPr>
        <w:t>para a produção de biodiesel</w:t>
      </w:r>
      <w:r w:rsidR="00A65E85">
        <w:rPr>
          <w:rFonts w:ascii="Times New Roman" w:hAnsi="Times New Roman" w:cs="Times New Roman"/>
          <w:sz w:val="24"/>
          <w:szCs w:val="24"/>
        </w:rPr>
        <w:t xml:space="preserve">. No limite, </w:t>
      </w:r>
      <w:r w:rsidR="00575026">
        <w:rPr>
          <w:rFonts w:ascii="Times New Roman" w:hAnsi="Times New Roman" w:cs="Times New Roman"/>
          <w:sz w:val="24"/>
          <w:szCs w:val="24"/>
        </w:rPr>
        <w:t xml:space="preserve">por exemplo, </w:t>
      </w:r>
      <w:r w:rsidR="00A65E85">
        <w:rPr>
          <w:rFonts w:ascii="Times New Roman" w:hAnsi="Times New Roman" w:cs="Times New Roman"/>
          <w:sz w:val="24"/>
          <w:szCs w:val="24"/>
        </w:rPr>
        <w:t xml:space="preserve">se todo o óleo de soja </w:t>
      </w:r>
      <w:r w:rsidR="00766B34">
        <w:rPr>
          <w:rFonts w:ascii="Times New Roman" w:hAnsi="Times New Roman" w:cs="Times New Roman"/>
          <w:sz w:val="24"/>
          <w:szCs w:val="24"/>
        </w:rPr>
        <w:t xml:space="preserve">em bruto que foi </w:t>
      </w:r>
      <w:r w:rsidR="00A65E85">
        <w:rPr>
          <w:rFonts w:ascii="Times New Roman" w:hAnsi="Times New Roman" w:cs="Times New Roman"/>
          <w:sz w:val="24"/>
          <w:szCs w:val="24"/>
        </w:rPr>
        <w:t xml:space="preserve">exportado </w:t>
      </w:r>
      <w:r w:rsidR="00853DBB">
        <w:rPr>
          <w:rFonts w:ascii="Times New Roman" w:hAnsi="Times New Roman" w:cs="Times New Roman"/>
          <w:sz w:val="24"/>
          <w:szCs w:val="24"/>
        </w:rPr>
        <w:t>em 2010</w:t>
      </w:r>
      <w:r w:rsidR="008F651F">
        <w:rPr>
          <w:rFonts w:ascii="Times New Roman" w:hAnsi="Times New Roman" w:cs="Times New Roman"/>
          <w:sz w:val="24"/>
          <w:szCs w:val="24"/>
        </w:rPr>
        <w:t xml:space="preserve"> </w:t>
      </w:r>
      <w:r w:rsidR="00A65E85">
        <w:rPr>
          <w:rFonts w:ascii="Times New Roman" w:hAnsi="Times New Roman" w:cs="Times New Roman"/>
          <w:sz w:val="24"/>
          <w:szCs w:val="24"/>
        </w:rPr>
        <w:t xml:space="preserve">fosse destinado </w:t>
      </w:r>
      <w:r w:rsidR="009E741B">
        <w:rPr>
          <w:rFonts w:ascii="Times New Roman" w:hAnsi="Times New Roman" w:cs="Times New Roman"/>
          <w:sz w:val="24"/>
          <w:szCs w:val="24"/>
        </w:rPr>
        <w:t>à</w:t>
      </w:r>
      <w:r w:rsidR="00A65E85">
        <w:rPr>
          <w:rFonts w:ascii="Times New Roman" w:hAnsi="Times New Roman" w:cs="Times New Roman"/>
          <w:sz w:val="24"/>
          <w:szCs w:val="24"/>
        </w:rPr>
        <w:t xml:space="preserve"> </w:t>
      </w:r>
      <w:r w:rsidR="003473C0">
        <w:rPr>
          <w:rFonts w:ascii="Times New Roman" w:hAnsi="Times New Roman" w:cs="Times New Roman"/>
          <w:sz w:val="24"/>
          <w:szCs w:val="24"/>
        </w:rPr>
        <w:t>fabricação</w:t>
      </w:r>
      <w:r w:rsidR="00A65E85">
        <w:rPr>
          <w:rFonts w:ascii="Times New Roman" w:hAnsi="Times New Roman" w:cs="Times New Roman"/>
          <w:sz w:val="24"/>
          <w:szCs w:val="24"/>
        </w:rPr>
        <w:t xml:space="preserve"> de biodiesel</w:t>
      </w:r>
      <w:r w:rsidR="009E741B">
        <w:rPr>
          <w:rFonts w:ascii="Times New Roman" w:hAnsi="Times New Roman" w:cs="Times New Roman"/>
          <w:sz w:val="24"/>
          <w:szCs w:val="24"/>
        </w:rPr>
        <w:t xml:space="preserve">, seria possível acrescer a produção </w:t>
      </w:r>
      <w:r w:rsidR="00853DBB">
        <w:rPr>
          <w:rFonts w:ascii="Times New Roman" w:hAnsi="Times New Roman" w:cs="Times New Roman"/>
          <w:sz w:val="24"/>
          <w:szCs w:val="24"/>
        </w:rPr>
        <w:t xml:space="preserve">gaúcha </w:t>
      </w:r>
      <w:r w:rsidR="009E741B">
        <w:rPr>
          <w:rFonts w:ascii="Times New Roman" w:hAnsi="Times New Roman" w:cs="Times New Roman"/>
          <w:sz w:val="24"/>
          <w:szCs w:val="24"/>
        </w:rPr>
        <w:t>em aproximadamente</w:t>
      </w:r>
      <w:r w:rsidR="00766B34">
        <w:rPr>
          <w:rFonts w:ascii="Times New Roman" w:hAnsi="Times New Roman" w:cs="Times New Roman"/>
          <w:sz w:val="24"/>
          <w:szCs w:val="24"/>
        </w:rPr>
        <w:t xml:space="preserve"> 484</w:t>
      </w:r>
      <w:r w:rsidR="008F651F">
        <w:rPr>
          <w:rFonts w:ascii="Times New Roman" w:hAnsi="Times New Roman" w:cs="Times New Roman"/>
          <w:sz w:val="24"/>
          <w:szCs w:val="24"/>
        </w:rPr>
        <w:t xml:space="preserve"> mil m</w:t>
      </w:r>
      <w:r w:rsidR="008F651F" w:rsidRPr="008F651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FB2756">
        <w:rPr>
          <w:rFonts w:ascii="Times New Roman" w:hAnsi="Times New Roman" w:cs="Times New Roman"/>
          <w:sz w:val="24"/>
          <w:szCs w:val="24"/>
        </w:rPr>
        <w:t xml:space="preserve"> (ou </w:t>
      </w:r>
      <w:r w:rsidR="00766B34">
        <w:rPr>
          <w:rFonts w:ascii="Times New Roman" w:hAnsi="Times New Roman" w:cs="Times New Roman"/>
          <w:sz w:val="24"/>
          <w:szCs w:val="24"/>
        </w:rPr>
        <w:t>80</w:t>
      </w:r>
      <w:r w:rsidR="00FB2756">
        <w:rPr>
          <w:rFonts w:ascii="Times New Roman" w:hAnsi="Times New Roman" w:cs="Times New Roman"/>
          <w:sz w:val="24"/>
          <w:szCs w:val="24"/>
        </w:rPr>
        <w:t>%)</w:t>
      </w:r>
      <w:r w:rsidR="00766B34">
        <w:rPr>
          <w:rFonts w:ascii="Times New Roman" w:hAnsi="Times New Roman" w:cs="Times New Roman"/>
          <w:sz w:val="24"/>
          <w:szCs w:val="24"/>
        </w:rPr>
        <w:t>, o que equivale a 26</w:t>
      </w:r>
      <w:r w:rsidR="008F651F">
        <w:rPr>
          <w:rFonts w:ascii="Times New Roman" w:hAnsi="Times New Roman" w:cs="Times New Roman"/>
          <w:sz w:val="24"/>
          <w:szCs w:val="24"/>
        </w:rPr>
        <w:t xml:space="preserve">% da capacidade autorizada </w:t>
      </w:r>
      <w:r w:rsidR="007950C1">
        <w:rPr>
          <w:rFonts w:ascii="Times New Roman" w:hAnsi="Times New Roman" w:cs="Times New Roman"/>
          <w:sz w:val="24"/>
          <w:szCs w:val="24"/>
        </w:rPr>
        <w:t>n</w:t>
      </w:r>
      <w:r w:rsidR="00853DBB">
        <w:rPr>
          <w:rFonts w:ascii="Times New Roman" w:hAnsi="Times New Roman" w:cs="Times New Roman"/>
          <w:sz w:val="24"/>
          <w:szCs w:val="24"/>
        </w:rPr>
        <w:t>o estado</w:t>
      </w:r>
      <w:r w:rsidR="008F651F">
        <w:rPr>
          <w:rFonts w:ascii="Times New Roman" w:hAnsi="Times New Roman" w:cs="Times New Roman"/>
          <w:sz w:val="24"/>
          <w:szCs w:val="24"/>
        </w:rPr>
        <w:t xml:space="preserve"> pela ANP. </w:t>
      </w:r>
      <w:r w:rsidR="001709E8">
        <w:rPr>
          <w:rFonts w:ascii="Times New Roman" w:hAnsi="Times New Roman" w:cs="Times New Roman"/>
          <w:sz w:val="24"/>
          <w:szCs w:val="24"/>
        </w:rPr>
        <w:t xml:space="preserve">Mesmo </w:t>
      </w:r>
      <w:r w:rsidR="00575026">
        <w:rPr>
          <w:rFonts w:ascii="Times New Roman" w:hAnsi="Times New Roman" w:cs="Times New Roman"/>
          <w:sz w:val="24"/>
          <w:szCs w:val="24"/>
        </w:rPr>
        <w:t>sob esse cenário</w:t>
      </w:r>
      <w:r w:rsidR="00CB3B9D">
        <w:rPr>
          <w:rFonts w:ascii="Times New Roman" w:hAnsi="Times New Roman" w:cs="Times New Roman"/>
          <w:sz w:val="24"/>
          <w:szCs w:val="24"/>
        </w:rPr>
        <w:t xml:space="preserve"> extremo</w:t>
      </w:r>
      <w:r w:rsidR="00FB2756">
        <w:rPr>
          <w:rFonts w:ascii="Times New Roman" w:hAnsi="Times New Roman" w:cs="Times New Roman"/>
          <w:sz w:val="24"/>
          <w:szCs w:val="24"/>
        </w:rPr>
        <w:t xml:space="preserve">, a matéria prima disponível </w:t>
      </w:r>
      <w:r w:rsidR="001709E8">
        <w:rPr>
          <w:rFonts w:ascii="Times New Roman" w:hAnsi="Times New Roman" w:cs="Times New Roman"/>
          <w:sz w:val="24"/>
          <w:szCs w:val="24"/>
        </w:rPr>
        <w:t xml:space="preserve">não seria </w:t>
      </w:r>
      <w:r w:rsidR="008F651F">
        <w:rPr>
          <w:rFonts w:ascii="Times New Roman" w:hAnsi="Times New Roman" w:cs="Times New Roman"/>
          <w:sz w:val="24"/>
          <w:szCs w:val="24"/>
        </w:rPr>
        <w:t>suficiente para solucionar o problema de ociosidade da indústria</w:t>
      </w:r>
      <w:r w:rsidR="00FB2756">
        <w:rPr>
          <w:rFonts w:ascii="Times New Roman" w:hAnsi="Times New Roman" w:cs="Times New Roman"/>
          <w:sz w:val="24"/>
          <w:szCs w:val="24"/>
        </w:rPr>
        <w:t xml:space="preserve">, que continuaria superior a </w:t>
      </w:r>
      <w:r w:rsidR="00766B34">
        <w:rPr>
          <w:rFonts w:ascii="Times New Roman" w:hAnsi="Times New Roman" w:cs="Times New Roman"/>
          <w:sz w:val="24"/>
          <w:szCs w:val="24"/>
        </w:rPr>
        <w:t>40</w:t>
      </w:r>
      <w:r w:rsidR="00FB2756">
        <w:rPr>
          <w:rFonts w:ascii="Times New Roman" w:hAnsi="Times New Roman" w:cs="Times New Roman"/>
          <w:sz w:val="24"/>
          <w:szCs w:val="24"/>
        </w:rPr>
        <w:t>%.</w:t>
      </w:r>
      <w:r w:rsidR="008F65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7C2" w:rsidRDefault="00171D12" w:rsidP="00C04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945ED7">
        <w:rPr>
          <w:rFonts w:ascii="Times New Roman" w:hAnsi="Times New Roman" w:cs="Times New Roman"/>
          <w:sz w:val="24"/>
          <w:szCs w:val="24"/>
        </w:rPr>
        <w:t xml:space="preserve"> evidente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="00945ED7">
        <w:rPr>
          <w:rFonts w:ascii="Times New Roman" w:hAnsi="Times New Roman" w:cs="Times New Roman"/>
          <w:sz w:val="24"/>
          <w:szCs w:val="24"/>
        </w:rPr>
        <w:t xml:space="preserve"> que </w:t>
      </w:r>
      <w:r>
        <w:rPr>
          <w:rFonts w:ascii="Times New Roman" w:hAnsi="Times New Roman" w:cs="Times New Roman"/>
          <w:sz w:val="24"/>
          <w:szCs w:val="24"/>
        </w:rPr>
        <w:t xml:space="preserve">o crescimento da produção de biodiesel </w:t>
      </w:r>
      <w:r w:rsidR="00BB5860">
        <w:rPr>
          <w:rFonts w:ascii="Times New Roman" w:hAnsi="Times New Roman" w:cs="Times New Roman"/>
          <w:sz w:val="24"/>
          <w:szCs w:val="24"/>
        </w:rPr>
        <w:t>no E</w:t>
      </w:r>
      <w:r w:rsidR="00C1680C">
        <w:rPr>
          <w:rFonts w:ascii="Times New Roman" w:hAnsi="Times New Roman" w:cs="Times New Roman"/>
          <w:sz w:val="24"/>
          <w:szCs w:val="24"/>
        </w:rPr>
        <w:t xml:space="preserve">stado </w:t>
      </w:r>
      <w:r>
        <w:rPr>
          <w:rFonts w:ascii="Times New Roman" w:hAnsi="Times New Roman" w:cs="Times New Roman"/>
          <w:sz w:val="24"/>
          <w:szCs w:val="24"/>
        </w:rPr>
        <w:t>está condicionado</w:t>
      </w:r>
      <w:r w:rsidR="00CB3B9D">
        <w:rPr>
          <w:rFonts w:ascii="Times New Roman" w:hAnsi="Times New Roman" w:cs="Times New Roman"/>
          <w:sz w:val="24"/>
          <w:szCs w:val="24"/>
        </w:rPr>
        <w:t xml:space="preserve"> ao sucesso d</w:t>
      </w:r>
      <w:r w:rsidR="00945ED7">
        <w:rPr>
          <w:rFonts w:ascii="Times New Roman" w:hAnsi="Times New Roman" w:cs="Times New Roman"/>
          <w:sz w:val="24"/>
          <w:szCs w:val="24"/>
        </w:rPr>
        <w:t>o enfrentamento de gargalos</w:t>
      </w:r>
      <w:r w:rsidR="00F70C1E">
        <w:rPr>
          <w:rFonts w:ascii="Times New Roman" w:hAnsi="Times New Roman" w:cs="Times New Roman"/>
          <w:sz w:val="24"/>
          <w:szCs w:val="24"/>
        </w:rPr>
        <w:t xml:space="preserve"> </w:t>
      </w:r>
      <w:r w:rsidR="00E41DD2">
        <w:rPr>
          <w:rFonts w:ascii="Times New Roman" w:hAnsi="Times New Roman" w:cs="Times New Roman"/>
          <w:sz w:val="24"/>
          <w:szCs w:val="24"/>
        </w:rPr>
        <w:t xml:space="preserve">tanto </w:t>
      </w:r>
      <w:r w:rsidR="00F70C1E">
        <w:rPr>
          <w:rFonts w:ascii="Times New Roman" w:hAnsi="Times New Roman" w:cs="Times New Roman"/>
          <w:sz w:val="24"/>
          <w:szCs w:val="24"/>
        </w:rPr>
        <w:t>de demanda</w:t>
      </w:r>
      <w:r w:rsidR="00960339">
        <w:rPr>
          <w:rFonts w:ascii="Times New Roman" w:hAnsi="Times New Roman" w:cs="Times New Roman"/>
          <w:sz w:val="24"/>
          <w:szCs w:val="24"/>
        </w:rPr>
        <w:t xml:space="preserve"> pelo biocombustível quanto</w:t>
      </w:r>
      <w:r w:rsidR="00F70C1E">
        <w:rPr>
          <w:rFonts w:ascii="Times New Roman" w:hAnsi="Times New Roman" w:cs="Times New Roman"/>
          <w:sz w:val="24"/>
          <w:szCs w:val="24"/>
        </w:rPr>
        <w:t xml:space="preserve"> de oferta da matéria prima. As entidades representativas da cadeia têm se preocupa</w:t>
      </w:r>
      <w:r w:rsidR="00C1680C">
        <w:rPr>
          <w:rFonts w:ascii="Times New Roman" w:hAnsi="Times New Roman" w:cs="Times New Roman"/>
          <w:sz w:val="24"/>
          <w:szCs w:val="24"/>
        </w:rPr>
        <w:t>do principalmente com a</w:t>
      </w:r>
      <w:r w:rsidR="00F70C1E">
        <w:rPr>
          <w:rFonts w:ascii="Times New Roman" w:hAnsi="Times New Roman" w:cs="Times New Roman"/>
          <w:sz w:val="24"/>
          <w:szCs w:val="24"/>
        </w:rPr>
        <w:t xml:space="preserve"> deficiência de demanda </w:t>
      </w:r>
      <w:r w:rsidR="00960339">
        <w:rPr>
          <w:rFonts w:ascii="Times New Roman" w:hAnsi="Times New Roman" w:cs="Times New Roman"/>
          <w:sz w:val="24"/>
          <w:szCs w:val="24"/>
        </w:rPr>
        <w:t xml:space="preserve">pelo biodiesel </w:t>
      </w:r>
      <w:r w:rsidR="00F70C1E">
        <w:rPr>
          <w:rFonts w:ascii="Times New Roman" w:hAnsi="Times New Roman" w:cs="Times New Roman"/>
          <w:sz w:val="24"/>
          <w:szCs w:val="24"/>
        </w:rPr>
        <w:t xml:space="preserve">e depositam no aumento da mistura </w:t>
      </w:r>
      <w:r>
        <w:rPr>
          <w:rFonts w:ascii="Times New Roman" w:hAnsi="Times New Roman" w:cs="Times New Roman"/>
          <w:sz w:val="24"/>
          <w:szCs w:val="24"/>
        </w:rPr>
        <w:t>mandatória</w:t>
      </w:r>
      <w:r w:rsidR="00F70C1E">
        <w:rPr>
          <w:rFonts w:ascii="Times New Roman" w:hAnsi="Times New Roman" w:cs="Times New Roman"/>
          <w:sz w:val="24"/>
          <w:szCs w:val="24"/>
        </w:rPr>
        <w:t xml:space="preserve"> a </w:t>
      </w:r>
      <w:r w:rsidR="00960339">
        <w:rPr>
          <w:rFonts w:ascii="Times New Roman" w:hAnsi="Times New Roman" w:cs="Times New Roman"/>
          <w:sz w:val="24"/>
          <w:szCs w:val="24"/>
        </w:rPr>
        <w:t>expectativa de solução para essa questão</w:t>
      </w:r>
      <w:r w:rsidR="00F70C1E">
        <w:rPr>
          <w:rFonts w:ascii="Times New Roman" w:hAnsi="Times New Roman" w:cs="Times New Roman"/>
          <w:sz w:val="24"/>
          <w:szCs w:val="24"/>
        </w:rPr>
        <w:t xml:space="preserve">. </w:t>
      </w:r>
      <w:r w:rsidR="00596DC5">
        <w:rPr>
          <w:rFonts w:ascii="Times New Roman" w:hAnsi="Times New Roman" w:cs="Times New Roman"/>
          <w:sz w:val="24"/>
          <w:szCs w:val="24"/>
        </w:rPr>
        <w:t>De fato</w:t>
      </w:r>
      <w:r w:rsidR="00960339">
        <w:rPr>
          <w:rFonts w:ascii="Times New Roman" w:hAnsi="Times New Roman" w:cs="Times New Roman"/>
          <w:sz w:val="24"/>
          <w:szCs w:val="24"/>
        </w:rPr>
        <w:t xml:space="preserve">, as projeções de demanda </w:t>
      </w:r>
      <w:r w:rsidR="00C047C2">
        <w:rPr>
          <w:rFonts w:ascii="Times New Roman" w:hAnsi="Times New Roman" w:cs="Times New Roman"/>
          <w:sz w:val="24"/>
          <w:szCs w:val="24"/>
        </w:rPr>
        <w:t>por energia contidas em</w:t>
      </w:r>
      <w:r w:rsidR="00820680">
        <w:rPr>
          <w:rFonts w:ascii="Times New Roman" w:hAnsi="Times New Roman" w:cs="Times New Roman"/>
          <w:sz w:val="24"/>
          <w:szCs w:val="24"/>
        </w:rPr>
        <w:t xml:space="preserve"> Brasil</w:t>
      </w:r>
      <w:r w:rsidR="00596DC5">
        <w:rPr>
          <w:rFonts w:ascii="Times New Roman" w:hAnsi="Times New Roman" w:cs="Times New Roman"/>
          <w:sz w:val="24"/>
          <w:szCs w:val="24"/>
        </w:rPr>
        <w:t xml:space="preserve"> (2011</w:t>
      </w:r>
      <w:r w:rsidR="00C047C2">
        <w:rPr>
          <w:rFonts w:ascii="Times New Roman" w:hAnsi="Times New Roman" w:cs="Times New Roman"/>
          <w:sz w:val="24"/>
          <w:szCs w:val="24"/>
        </w:rPr>
        <w:t>c</w:t>
      </w:r>
      <w:r w:rsidR="00596DC5">
        <w:rPr>
          <w:rFonts w:ascii="Times New Roman" w:hAnsi="Times New Roman" w:cs="Times New Roman"/>
          <w:sz w:val="24"/>
          <w:szCs w:val="24"/>
        </w:rPr>
        <w:t xml:space="preserve">) </w:t>
      </w:r>
      <w:r w:rsidR="00596DC5">
        <w:rPr>
          <w:rFonts w:ascii="Times New Roman" w:hAnsi="Times New Roman" w:cs="Times New Roman"/>
          <w:sz w:val="24"/>
          <w:szCs w:val="24"/>
        </w:rPr>
        <w:lastRenderedPageBreak/>
        <w:t xml:space="preserve">confirmam que </w:t>
      </w:r>
      <w:r w:rsidR="00405936">
        <w:rPr>
          <w:rFonts w:ascii="Times New Roman" w:hAnsi="Times New Roman" w:cs="Times New Roman"/>
          <w:sz w:val="24"/>
          <w:szCs w:val="24"/>
        </w:rPr>
        <w:t>apesar d</w:t>
      </w:r>
      <w:r w:rsidR="00596DC5">
        <w:rPr>
          <w:rFonts w:ascii="Times New Roman" w:hAnsi="Times New Roman" w:cs="Times New Roman"/>
          <w:sz w:val="24"/>
          <w:szCs w:val="24"/>
        </w:rPr>
        <w:t xml:space="preserve">o aumento esperado no consumo de </w:t>
      </w:r>
      <w:r w:rsidR="00405936">
        <w:rPr>
          <w:rFonts w:ascii="Times New Roman" w:hAnsi="Times New Roman" w:cs="Times New Roman"/>
          <w:sz w:val="24"/>
          <w:szCs w:val="24"/>
        </w:rPr>
        <w:t xml:space="preserve">óleo </w:t>
      </w:r>
      <w:r w:rsidR="00596DC5">
        <w:rPr>
          <w:rFonts w:ascii="Times New Roman" w:hAnsi="Times New Roman" w:cs="Times New Roman"/>
          <w:sz w:val="24"/>
          <w:szCs w:val="24"/>
        </w:rPr>
        <w:t>diesel nos próximos anos</w:t>
      </w:r>
      <w:r w:rsidR="00405936">
        <w:rPr>
          <w:rFonts w:ascii="Times New Roman" w:hAnsi="Times New Roman" w:cs="Times New Roman"/>
          <w:sz w:val="24"/>
          <w:szCs w:val="24"/>
        </w:rPr>
        <w:t xml:space="preserve"> (53% no período 2010-2020)</w:t>
      </w:r>
      <w:r w:rsidR="00596DC5">
        <w:rPr>
          <w:rFonts w:ascii="Times New Roman" w:hAnsi="Times New Roman" w:cs="Times New Roman"/>
          <w:sz w:val="24"/>
          <w:szCs w:val="24"/>
        </w:rPr>
        <w:t xml:space="preserve">, </w:t>
      </w:r>
      <w:r w:rsidR="00405936">
        <w:rPr>
          <w:rFonts w:ascii="Times New Roman" w:hAnsi="Times New Roman" w:cs="Times New Roman"/>
          <w:sz w:val="24"/>
          <w:szCs w:val="24"/>
        </w:rPr>
        <w:t xml:space="preserve">sob a preservação do B5, a indústria </w:t>
      </w:r>
      <w:r>
        <w:rPr>
          <w:rFonts w:ascii="Times New Roman" w:hAnsi="Times New Roman" w:cs="Times New Roman"/>
          <w:sz w:val="24"/>
          <w:szCs w:val="24"/>
        </w:rPr>
        <w:t xml:space="preserve">nacional </w:t>
      </w:r>
      <w:r w:rsidR="00405936">
        <w:rPr>
          <w:rFonts w:ascii="Times New Roman" w:hAnsi="Times New Roman" w:cs="Times New Roman"/>
          <w:sz w:val="24"/>
          <w:szCs w:val="24"/>
        </w:rPr>
        <w:t>continuará operando com níveis de ociosidade acima de 50%</w:t>
      </w:r>
      <w:r w:rsidR="00405936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  <w:r w:rsidR="00124B5B">
        <w:rPr>
          <w:rFonts w:ascii="Times New Roman" w:hAnsi="Times New Roman" w:cs="Times New Roman"/>
          <w:sz w:val="24"/>
          <w:szCs w:val="24"/>
        </w:rPr>
        <w:t>. Nesse sentido, o aumento progressivo e gradual da mistura mandatória em dois pontos percent</w:t>
      </w:r>
      <w:r w:rsidR="00473F76">
        <w:rPr>
          <w:rFonts w:ascii="Times New Roman" w:hAnsi="Times New Roman" w:cs="Times New Roman"/>
          <w:sz w:val="24"/>
          <w:szCs w:val="24"/>
        </w:rPr>
        <w:t>uais ao ano, de 2013 a</w:t>
      </w:r>
      <w:r w:rsidR="00124B5B">
        <w:rPr>
          <w:rFonts w:ascii="Times New Roman" w:hAnsi="Times New Roman" w:cs="Times New Roman"/>
          <w:sz w:val="24"/>
          <w:szCs w:val="24"/>
        </w:rPr>
        <w:t xml:space="preserve"> 2020, seria mais do que suficiente para permitir a continuidade do </w:t>
      </w:r>
      <w:r w:rsidR="00A00620">
        <w:rPr>
          <w:rFonts w:ascii="Times New Roman" w:hAnsi="Times New Roman" w:cs="Times New Roman"/>
          <w:sz w:val="24"/>
          <w:szCs w:val="24"/>
        </w:rPr>
        <w:t>crescimento</w:t>
      </w:r>
      <w:r w:rsidR="00124B5B">
        <w:rPr>
          <w:rFonts w:ascii="Times New Roman" w:hAnsi="Times New Roman" w:cs="Times New Roman"/>
          <w:sz w:val="24"/>
          <w:szCs w:val="24"/>
        </w:rPr>
        <w:t xml:space="preserve"> do setor em ritmo acelerado</w:t>
      </w:r>
      <w:r w:rsidR="00C047C2">
        <w:rPr>
          <w:rFonts w:ascii="Times New Roman" w:hAnsi="Times New Roman" w:cs="Times New Roman"/>
          <w:sz w:val="24"/>
          <w:szCs w:val="24"/>
        </w:rPr>
        <w:t xml:space="preserve"> (Figura 5</w:t>
      </w:r>
      <w:r w:rsidR="00167077">
        <w:rPr>
          <w:rFonts w:ascii="Times New Roman" w:hAnsi="Times New Roman" w:cs="Times New Roman"/>
          <w:sz w:val="24"/>
          <w:szCs w:val="24"/>
        </w:rPr>
        <w:t>)</w:t>
      </w:r>
      <w:r w:rsidR="00405936">
        <w:rPr>
          <w:rFonts w:ascii="Times New Roman" w:hAnsi="Times New Roman" w:cs="Times New Roman"/>
          <w:sz w:val="24"/>
          <w:szCs w:val="24"/>
        </w:rPr>
        <w:t>.</w:t>
      </w:r>
    </w:p>
    <w:p w:rsidR="00C047C2" w:rsidRDefault="00C047C2" w:rsidP="00C0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C2" w:rsidRDefault="00C047C2" w:rsidP="00C0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5</w:t>
      </w:r>
    </w:p>
    <w:p w:rsidR="00C047C2" w:rsidRDefault="00C047C2" w:rsidP="00C04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7C2" w:rsidRDefault="00C047C2" w:rsidP="00C047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Projeções para a demanda de biodiesel e óleo diesel no Brasil (em milhares de m</w:t>
      </w:r>
      <w:r w:rsidRPr="001670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96DC5" w:rsidRDefault="00596DC5" w:rsidP="00596D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D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2105025"/>
            <wp:effectExtent l="19050" t="0" r="1016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67077" w:rsidRDefault="00C047C2" w:rsidP="001670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</w:t>
      </w:r>
      <w:r w:rsidR="00167077">
        <w:rPr>
          <w:rFonts w:ascii="Times New Roman" w:hAnsi="Times New Roman" w:cs="Times New Roman"/>
          <w:sz w:val="24"/>
          <w:szCs w:val="24"/>
        </w:rPr>
        <w:t xml:space="preserve">: </w:t>
      </w:r>
      <w:r w:rsidR="00820680">
        <w:rPr>
          <w:rFonts w:ascii="Times New Roman" w:hAnsi="Times New Roman" w:cs="Times New Roman"/>
          <w:sz w:val="24"/>
          <w:szCs w:val="24"/>
        </w:rPr>
        <w:t xml:space="preserve">Brasil </w:t>
      </w:r>
      <w:r w:rsidR="00167077">
        <w:rPr>
          <w:rFonts w:ascii="Times New Roman" w:hAnsi="Times New Roman" w:cs="Times New Roman"/>
          <w:sz w:val="24"/>
          <w:szCs w:val="24"/>
        </w:rPr>
        <w:t>(2011</w:t>
      </w:r>
      <w:r>
        <w:rPr>
          <w:rFonts w:ascii="Times New Roman" w:hAnsi="Times New Roman" w:cs="Times New Roman"/>
          <w:sz w:val="24"/>
          <w:szCs w:val="24"/>
        </w:rPr>
        <w:t>c</w:t>
      </w:r>
      <w:r w:rsidR="00167077">
        <w:rPr>
          <w:rFonts w:ascii="Times New Roman" w:hAnsi="Times New Roman" w:cs="Times New Roman"/>
          <w:sz w:val="24"/>
          <w:szCs w:val="24"/>
        </w:rPr>
        <w:t>)</w:t>
      </w:r>
      <w:r w:rsidR="00CB3B9D">
        <w:rPr>
          <w:rFonts w:ascii="Times New Roman" w:hAnsi="Times New Roman" w:cs="Times New Roman"/>
          <w:sz w:val="24"/>
          <w:szCs w:val="24"/>
        </w:rPr>
        <w:t xml:space="preserve"> e estimativas do autor.</w:t>
      </w:r>
    </w:p>
    <w:p w:rsidR="00F713F5" w:rsidRDefault="00876BB6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</w:t>
      </w:r>
      <w:r w:rsidR="00124B5B">
        <w:rPr>
          <w:rFonts w:ascii="Times New Roman" w:hAnsi="Times New Roman" w:cs="Times New Roman"/>
          <w:sz w:val="24"/>
          <w:szCs w:val="24"/>
        </w:rPr>
        <w:t>, a solução do gargalo da escassez de demanda</w:t>
      </w:r>
      <w:r>
        <w:rPr>
          <w:rFonts w:ascii="Times New Roman" w:hAnsi="Times New Roman" w:cs="Times New Roman"/>
          <w:sz w:val="24"/>
          <w:szCs w:val="24"/>
        </w:rPr>
        <w:t xml:space="preserve"> no âmbito nacional poderá não </w:t>
      </w:r>
      <w:r w:rsidR="00175D54">
        <w:rPr>
          <w:rFonts w:ascii="Times New Roman" w:hAnsi="Times New Roman" w:cs="Times New Roman"/>
          <w:sz w:val="24"/>
          <w:szCs w:val="24"/>
        </w:rPr>
        <w:t xml:space="preserve">ser suficiente </w:t>
      </w:r>
      <w:r w:rsidR="00994DED">
        <w:rPr>
          <w:rFonts w:ascii="Times New Roman" w:hAnsi="Times New Roman" w:cs="Times New Roman"/>
          <w:sz w:val="24"/>
          <w:szCs w:val="24"/>
        </w:rPr>
        <w:t xml:space="preserve">para </w:t>
      </w:r>
      <w:r w:rsidR="00C1680C">
        <w:rPr>
          <w:rFonts w:ascii="Times New Roman" w:hAnsi="Times New Roman" w:cs="Times New Roman"/>
          <w:sz w:val="24"/>
          <w:szCs w:val="24"/>
        </w:rPr>
        <w:t xml:space="preserve">preservar a liderança da indústria gaúcha na produção nacional do biodiesel </w:t>
      </w:r>
      <w:r>
        <w:rPr>
          <w:rFonts w:ascii="Times New Roman" w:hAnsi="Times New Roman" w:cs="Times New Roman"/>
          <w:sz w:val="24"/>
          <w:szCs w:val="24"/>
        </w:rPr>
        <w:t xml:space="preserve">em razão da já </w:t>
      </w:r>
      <w:r w:rsidR="005A05C6">
        <w:rPr>
          <w:rFonts w:ascii="Times New Roman" w:hAnsi="Times New Roman" w:cs="Times New Roman"/>
          <w:sz w:val="24"/>
          <w:szCs w:val="24"/>
        </w:rPr>
        <w:t>citada</w:t>
      </w:r>
      <w:r>
        <w:rPr>
          <w:rFonts w:ascii="Times New Roman" w:hAnsi="Times New Roman" w:cs="Times New Roman"/>
          <w:sz w:val="24"/>
          <w:szCs w:val="24"/>
        </w:rPr>
        <w:t xml:space="preserve"> restrição de oferta da matéria prima dominantemente utilizada – óleo de soja. </w:t>
      </w:r>
      <w:r w:rsidR="00994DED">
        <w:rPr>
          <w:rFonts w:ascii="Times New Roman" w:hAnsi="Times New Roman" w:cs="Times New Roman"/>
          <w:sz w:val="24"/>
          <w:szCs w:val="24"/>
        </w:rPr>
        <w:t>O</w:t>
      </w:r>
      <w:r w:rsidR="007D6B4D">
        <w:rPr>
          <w:rFonts w:ascii="Times New Roman" w:hAnsi="Times New Roman" w:cs="Times New Roman"/>
          <w:sz w:val="24"/>
          <w:szCs w:val="24"/>
        </w:rPr>
        <w:t xml:space="preserve"> cenário </w:t>
      </w:r>
      <w:r w:rsidR="008F671D">
        <w:rPr>
          <w:rFonts w:ascii="Times New Roman" w:hAnsi="Times New Roman" w:cs="Times New Roman"/>
          <w:sz w:val="24"/>
          <w:szCs w:val="24"/>
        </w:rPr>
        <w:t xml:space="preserve">previsto </w:t>
      </w:r>
      <w:r w:rsidR="0003368F">
        <w:rPr>
          <w:rFonts w:ascii="Times New Roman" w:hAnsi="Times New Roman" w:cs="Times New Roman"/>
          <w:sz w:val="24"/>
          <w:szCs w:val="24"/>
        </w:rPr>
        <w:t>pelo Ministério de Minas e Energia</w:t>
      </w:r>
      <w:r w:rsidR="008F671D">
        <w:rPr>
          <w:rFonts w:ascii="Times New Roman" w:hAnsi="Times New Roman" w:cs="Times New Roman"/>
          <w:sz w:val="24"/>
          <w:szCs w:val="24"/>
        </w:rPr>
        <w:t xml:space="preserve"> </w:t>
      </w:r>
      <w:r w:rsidR="00994DED">
        <w:rPr>
          <w:rFonts w:ascii="Times New Roman" w:hAnsi="Times New Roman" w:cs="Times New Roman"/>
          <w:sz w:val="24"/>
          <w:szCs w:val="24"/>
        </w:rPr>
        <w:t>(</w:t>
      </w:r>
      <w:r w:rsidR="0003368F">
        <w:rPr>
          <w:rFonts w:ascii="Times New Roman" w:hAnsi="Times New Roman" w:cs="Times New Roman"/>
          <w:sz w:val="24"/>
          <w:szCs w:val="24"/>
        </w:rPr>
        <w:t xml:space="preserve">Brasil, </w:t>
      </w:r>
      <w:r w:rsidR="00994DED">
        <w:rPr>
          <w:rFonts w:ascii="Times New Roman" w:hAnsi="Times New Roman" w:cs="Times New Roman"/>
          <w:sz w:val="24"/>
          <w:szCs w:val="24"/>
        </w:rPr>
        <w:t>2011</w:t>
      </w:r>
      <w:r w:rsidR="001619C6">
        <w:rPr>
          <w:rFonts w:ascii="Times New Roman" w:hAnsi="Times New Roman" w:cs="Times New Roman"/>
          <w:sz w:val="24"/>
          <w:szCs w:val="24"/>
        </w:rPr>
        <w:t>c</w:t>
      </w:r>
      <w:r w:rsidR="00994DED">
        <w:rPr>
          <w:rFonts w:ascii="Times New Roman" w:hAnsi="Times New Roman" w:cs="Times New Roman"/>
          <w:sz w:val="24"/>
          <w:szCs w:val="24"/>
        </w:rPr>
        <w:t>) permite</w:t>
      </w:r>
      <w:r w:rsidR="007D6B4D">
        <w:rPr>
          <w:rFonts w:ascii="Times New Roman" w:hAnsi="Times New Roman" w:cs="Times New Roman"/>
          <w:sz w:val="24"/>
          <w:szCs w:val="24"/>
        </w:rPr>
        <w:t xml:space="preserve"> </w:t>
      </w:r>
      <w:r w:rsidR="00994DED">
        <w:rPr>
          <w:rFonts w:ascii="Times New Roman" w:hAnsi="Times New Roman" w:cs="Times New Roman"/>
          <w:sz w:val="24"/>
          <w:szCs w:val="24"/>
        </w:rPr>
        <w:t>a realização de alguns exercícios de estimação d</w:t>
      </w:r>
      <w:r w:rsidR="007D6B4D">
        <w:rPr>
          <w:rFonts w:ascii="Times New Roman" w:hAnsi="Times New Roman" w:cs="Times New Roman"/>
          <w:sz w:val="24"/>
          <w:szCs w:val="24"/>
        </w:rPr>
        <w:t>a quantidade necessár</w:t>
      </w:r>
      <w:r w:rsidR="00994DED">
        <w:rPr>
          <w:rFonts w:ascii="Times New Roman" w:hAnsi="Times New Roman" w:cs="Times New Roman"/>
          <w:sz w:val="24"/>
          <w:szCs w:val="24"/>
        </w:rPr>
        <w:t>ia</w:t>
      </w:r>
      <w:r w:rsidR="00833A21" w:rsidRPr="00833A21">
        <w:rPr>
          <w:rFonts w:ascii="Times New Roman" w:hAnsi="Times New Roman" w:cs="Times New Roman"/>
          <w:sz w:val="24"/>
          <w:szCs w:val="24"/>
        </w:rPr>
        <w:t xml:space="preserve"> </w:t>
      </w:r>
      <w:r w:rsidR="00833A21">
        <w:rPr>
          <w:rFonts w:ascii="Times New Roman" w:hAnsi="Times New Roman" w:cs="Times New Roman"/>
          <w:sz w:val="24"/>
          <w:szCs w:val="24"/>
        </w:rPr>
        <w:t>de óleo de soja</w:t>
      </w:r>
      <w:r w:rsidR="007D6B4D">
        <w:rPr>
          <w:rFonts w:ascii="Times New Roman" w:hAnsi="Times New Roman" w:cs="Times New Roman"/>
          <w:sz w:val="24"/>
          <w:szCs w:val="24"/>
        </w:rPr>
        <w:t xml:space="preserve"> para atender ao B5 e </w:t>
      </w:r>
      <w:r w:rsidR="00D71B9F">
        <w:rPr>
          <w:rFonts w:ascii="Times New Roman" w:hAnsi="Times New Roman" w:cs="Times New Roman"/>
          <w:sz w:val="24"/>
          <w:szCs w:val="24"/>
        </w:rPr>
        <w:t>a</w:t>
      </w:r>
      <w:r w:rsidR="007D6B4D">
        <w:rPr>
          <w:rFonts w:ascii="Times New Roman" w:hAnsi="Times New Roman" w:cs="Times New Roman"/>
          <w:sz w:val="24"/>
          <w:szCs w:val="24"/>
        </w:rPr>
        <w:t>o B20 no ano de 2020.</w:t>
      </w:r>
      <w:r w:rsidR="00F713F5">
        <w:rPr>
          <w:rFonts w:ascii="Times New Roman" w:hAnsi="Times New Roman" w:cs="Times New Roman"/>
          <w:sz w:val="24"/>
          <w:szCs w:val="24"/>
        </w:rPr>
        <w:t xml:space="preserve"> Como resultado da esperada e</w:t>
      </w:r>
      <w:r w:rsidR="00833A21">
        <w:rPr>
          <w:rFonts w:ascii="Times New Roman" w:hAnsi="Times New Roman" w:cs="Times New Roman"/>
          <w:sz w:val="24"/>
          <w:szCs w:val="24"/>
        </w:rPr>
        <w:t>xpansão do cultivo da palma na Região N</w:t>
      </w:r>
      <w:r w:rsidR="00743545">
        <w:rPr>
          <w:rFonts w:ascii="Times New Roman" w:hAnsi="Times New Roman" w:cs="Times New Roman"/>
          <w:sz w:val="24"/>
          <w:szCs w:val="24"/>
        </w:rPr>
        <w:t>orte do P</w:t>
      </w:r>
      <w:r w:rsidR="00F713F5">
        <w:rPr>
          <w:rFonts w:ascii="Times New Roman" w:hAnsi="Times New Roman" w:cs="Times New Roman"/>
          <w:sz w:val="24"/>
          <w:szCs w:val="24"/>
        </w:rPr>
        <w:t>aís e do incentivo à adoção de outras matérias primas para produção de biodiesel</w:t>
      </w:r>
      <w:r w:rsidR="00F713F5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F713F5">
        <w:rPr>
          <w:rFonts w:ascii="Times New Roman" w:hAnsi="Times New Roman" w:cs="Times New Roman"/>
          <w:sz w:val="24"/>
          <w:szCs w:val="24"/>
        </w:rPr>
        <w:t xml:space="preserve">, </w:t>
      </w:r>
      <w:r w:rsidR="0083125D">
        <w:rPr>
          <w:rFonts w:ascii="Times New Roman" w:hAnsi="Times New Roman" w:cs="Times New Roman"/>
          <w:sz w:val="24"/>
          <w:szCs w:val="24"/>
        </w:rPr>
        <w:t>parte-se da premissa</w:t>
      </w:r>
      <w:r w:rsidR="00994DED">
        <w:rPr>
          <w:rFonts w:ascii="Times New Roman" w:hAnsi="Times New Roman" w:cs="Times New Roman"/>
          <w:sz w:val="24"/>
          <w:szCs w:val="24"/>
        </w:rPr>
        <w:t xml:space="preserve"> que a participação da soja </w:t>
      </w:r>
      <w:r w:rsidR="008F671D">
        <w:rPr>
          <w:rFonts w:ascii="Times New Roman" w:hAnsi="Times New Roman" w:cs="Times New Roman"/>
          <w:sz w:val="24"/>
          <w:szCs w:val="24"/>
        </w:rPr>
        <w:t>diminuirá</w:t>
      </w:r>
      <w:r w:rsidR="002010AF">
        <w:rPr>
          <w:rFonts w:ascii="Times New Roman" w:hAnsi="Times New Roman" w:cs="Times New Roman"/>
          <w:sz w:val="24"/>
          <w:szCs w:val="24"/>
        </w:rPr>
        <w:t xml:space="preserve"> para 65%</w:t>
      </w:r>
      <w:r w:rsidR="00994DED">
        <w:rPr>
          <w:rFonts w:ascii="Times New Roman" w:hAnsi="Times New Roman" w:cs="Times New Roman"/>
          <w:sz w:val="24"/>
          <w:szCs w:val="24"/>
        </w:rPr>
        <w:t xml:space="preserve"> </w:t>
      </w:r>
      <w:r w:rsidR="00F713F5">
        <w:rPr>
          <w:rFonts w:ascii="Times New Roman" w:hAnsi="Times New Roman" w:cs="Times New Roman"/>
          <w:sz w:val="24"/>
          <w:szCs w:val="24"/>
        </w:rPr>
        <w:t>no Brasil e para 77% no Rio Grande do Sul. Adicionalmente,</w:t>
      </w:r>
      <w:r w:rsidR="008F671D">
        <w:rPr>
          <w:rFonts w:ascii="Times New Roman" w:hAnsi="Times New Roman" w:cs="Times New Roman"/>
          <w:sz w:val="24"/>
          <w:szCs w:val="24"/>
        </w:rPr>
        <w:t xml:space="preserve"> </w:t>
      </w:r>
      <w:r w:rsidR="00F713F5">
        <w:rPr>
          <w:rFonts w:ascii="Times New Roman" w:hAnsi="Times New Roman" w:cs="Times New Roman"/>
          <w:sz w:val="24"/>
          <w:szCs w:val="24"/>
        </w:rPr>
        <w:t>assumiu-se a hipótese de</w:t>
      </w:r>
      <w:r w:rsidR="008F671D">
        <w:rPr>
          <w:rFonts w:ascii="Times New Roman" w:hAnsi="Times New Roman" w:cs="Times New Roman"/>
          <w:sz w:val="24"/>
          <w:szCs w:val="24"/>
        </w:rPr>
        <w:t xml:space="preserve"> que a indústria gaúcha manterá</w:t>
      </w:r>
      <w:r w:rsidR="00F713F5">
        <w:rPr>
          <w:rFonts w:ascii="Times New Roman" w:hAnsi="Times New Roman" w:cs="Times New Roman"/>
          <w:sz w:val="24"/>
          <w:szCs w:val="24"/>
        </w:rPr>
        <w:t xml:space="preserve"> sua participação na oferta nacional do biocombustível (25% em 2010). </w:t>
      </w:r>
    </w:p>
    <w:p w:rsidR="005A05C6" w:rsidRDefault="00F713F5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ausência de aumento da mistura mandatória, </w:t>
      </w:r>
      <w:r w:rsidR="002010AF">
        <w:rPr>
          <w:rFonts w:ascii="Times New Roman" w:hAnsi="Times New Roman" w:cs="Times New Roman"/>
          <w:sz w:val="24"/>
          <w:szCs w:val="24"/>
        </w:rPr>
        <w:t xml:space="preserve">o esmagamento </w:t>
      </w:r>
      <w:r>
        <w:rPr>
          <w:rFonts w:ascii="Times New Roman" w:hAnsi="Times New Roman" w:cs="Times New Roman"/>
          <w:sz w:val="24"/>
          <w:szCs w:val="24"/>
        </w:rPr>
        <w:t xml:space="preserve">de soja </w:t>
      </w:r>
      <w:r w:rsidR="002010AF">
        <w:rPr>
          <w:rFonts w:ascii="Times New Roman" w:hAnsi="Times New Roman" w:cs="Times New Roman"/>
          <w:sz w:val="24"/>
          <w:szCs w:val="24"/>
        </w:rPr>
        <w:t xml:space="preserve">necessário para a produção de biodiesel aumentaria em 2,5 milhões de toneladas </w:t>
      </w:r>
      <w:r w:rsidR="00372996">
        <w:rPr>
          <w:rFonts w:ascii="Times New Roman" w:hAnsi="Times New Roman" w:cs="Times New Roman"/>
          <w:sz w:val="24"/>
          <w:szCs w:val="24"/>
        </w:rPr>
        <w:t>no Brasil e em 781 mil tone</w:t>
      </w:r>
      <w:r w:rsidR="003C34CD">
        <w:rPr>
          <w:rFonts w:ascii="Times New Roman" w:hAnsi="Times New Roman" w:cs="Times New Roman"/>
          <w:sz w:val="24"/>
          <w:szCs w:val="24"/>
        </w:rPr>
        <w:t>ladas no Rio Grande do Sul. Dados</w:t>
      </w:r>
      <w:r w:rsidR="007B303E">
        <w:rPr>
          <w:rFonts w:ascii="Times New Roman" w:hAnsi="Times New Roman" w:cs="Times New Roman"/>
          <w:sz w:val="24"/>
          <w:szCs w:val="24"/>
        </w:rPr>
        <w:t xml:space="preserve"> a elasticidade da oferta de soja no país</w:t>
      </w:r>
      <w:r w:rsidR="00005C7E">
        <w:rPr>
          <w:rFonts w:ascii="Times New Roman" w:hAnsi="Times New Roman" w:cs="Times New Roman"/>
          <w:sz w:val="24"/>
          <w:szCs w:val="24"/>
        </w:rPr>
        <w:t xml:space="preserve"> e </w:t>
      </w:r>
      <w:r w:rsidR="00E615ED">
        <w:rPr>
          <w:rFonts w:ascii="Times New Roman" w:hAnsi="Times New Roman" w:cs="Times New Roman"/>
          <w:sz w:val="24"/>
          <w:szCs w:val="24"/>
        </w:rPr>
        <w:t xml:space="preserve">o </w:t>
      </w:r>
      <w:r w:rsidR="007B303E">
        <w:rPr>
          <w:rFonts w:ascii="Times New Roman" w:hAnsi="Times New Roman" w:cs="Times New Roman"/>
          <w:sz w:val="24"/>
          <w:szCs w:val="24"/>
        </w:rPr>
        <w:t>crescimento</w:t>
      </w:r>
      <w:r w:rsidR="00005C7E">
        <w:rPr>
          <w:rFonts w:ascii="Times New Roman" w:hAnsi="Times New Roman" w:cs="Times New Roman"/>
          <w:sz w:val="24"/>
          <w:szCs w:val="24"/>
        </w:rPr>
        <w:t xml:space="preserve"> </w:t>
      </w:r>
      <w:r w:rsidR="007B303E">
        <w:rPr>
          <w:rFonts w:ascii="Times New Roman" w:hAnsi="Times New Roman" w:cs="Times New Roman"/>
          <w:sz w:val="24"/>
          <w:szCs w:val="24"/>
        </w:rPr>
        <w:t>d</w:t>
      </w:r>
      <w:r w:rsidR="00005C7E">
        <w:rPr>
          <w:rFonts w:ascii="Times New Roman" w:hAnsi="Times New Roman" w:cs="Times New Roman"/>
          <w:sz w:val="24"/>
          <w:szCs w:val="24"/>
        </w:rPr>
        <w:t xml:space="preserve">o </w:t>
      </w:r>
      <w:r w:rsidR="00E615ED">
        <w:rPr>
          <w:rFonts w:ascii="Times New Roman" w:hAnsi="Times New Roman" w:cs="Times New Roman"/>
          <w:sz w:val="24"/>
          <w:szCs w:val="24"/>
        </w:rPr>
        <w:t xml:space="preserve">consumo </w:t>
      </w:r>
      <w:r w:rsidR="003C34CD">
        <w:rPr>
          <w:rFonts w:ascii="Times New Roman" w:hAnsi="Times New Roman" w:cs="Times New Roman"/>
          <w:sz w:val="24"/>
          <w:szCs w:val="24"/>
        </w:rPr>
        <w:t>de</w:t>
      </w:r>
      <w:r w:rsidR="00E615ED">
        <w:rPr>
          <w:rFonts w:ascii="Times New Roman" w:hAnsi="Times New Roman" w:cs="Times New Roman"/>
          <w:sz w:val="24"/>
          <w:szCs w:val="24"/>
        </w:rPr>
        <w:t xml:space="preserve"> </w:t>
      </w:r>
      <w:r w:rsidR="00005C7E">
        <w:rPr>
          <w:rFonts w:ascii="Times New Roman" w:hAnsi="Times New Roman" w:cs="Times New Roman"/>
          <w:sz w:val="24"/>
          <w:szCs w:val="24"/>
        </w:rPr>
        <w:t xml:space="preserve">farelo </w:t>
      </w:r>
      <w:r w:rsidR="00923BF6">
        <w:rPr>
          <w:rFonts w:ascii="Times New Roman" w:hAnsi="Times New Roman" w:cs="Times New Roman"/>
          <w:sz w:val="24"/>
          <w:szCs w:val="24"/>
        </w:rPr>
        <w:t>brasileiro na última década (4,8</w:t>
      </w:r>
      <w:r w:rsidR="007B303E">
        <w:rPr>
          <w:rFonts w:ascii="Times New Roman" w:hAnsi="Times New Roman" w:cs="Times New Roman"/>
          <w:sz w:val="24"/>
          <w:szCs w:val="24"/>
        </w:rPr>
        <w:t>% ao ano entre 200</w:t>
      </w:r>
      <w:r w:rsidR="00923BF6">
        <w:rPr>
          <w:rFonts w:ascii="Times New Roman" w:hAnsi="Times New Roman" w:cs="Times New Roman"/>
          <w:sz w:val="24"/>
          <w:szCs w:val="24"/>
        </w:rPr>
        <w:t>0</w:t>
      </w:r>
      <w:r w:rsidR="007B303E">
        <w:rPr>
          <w:rFonts w:ascii="Times New Roman" w:hAnsi="Times New Roman" w:cs="Times New Roman"/>
          <w:sz w:val="24"/>
          <w:szCs w:val="24"/>
        </w:rPr>
        <w:t xml:space="preserve"> e 2010</w:t>
      </w:r>
      <w:r w:rsidR="00D30C21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7B303E">
        <w:rPr>
          <w:rFonts w:ascii="Times New Roman" w:hAnsi="Times New Roman" w:cs="Times New Roman"/>
          <w:sz w:val="24"/>
          <w:szCs w:val="24"/>
        </w:rPr>
        <w:t>)</w:t>
      </w:r>
      <w:r w:rsidR="00005C7E">
        <w:rPr>
          <w:rFonts w:ascii="Times New Roman" w:hAnsi="Times New Roman" w:cs="Times New Roman"/>
          <w:sz w:val="24"/>
          <w:szCs w:val="24"/>
        </w:rPr>
        <w:t>, projeta-s</w:t>
      </w:r>
      <w:r w:rsidR="00CC5CD7">
        <w:rPr>
          <w:rFonts w:ascii="Times New Roman" w:hAnsi="Times New Roman" w:cs="Times New Roman"/>
          <w:sz w:val="24"/>
          <w:szCs w:val="24"/>
        </w:rPr>
        <w:t>e que a indústria nacional terá</w:t>
      </w:r>
      <w:r w:rsidR="00005C7E">
        <w:rPr>
          <w:rFonts w:ascii="Times New Roman" w:hAnsi="Times New Roman" w:cs="Times New Roman"/>
          <w:sz w:val="24"/>
          <w:szCs w:val="24"/>
        </w:rPr>
        <w:t xml:space="preserve"> </w:t>
      </w:r>
      <w:r w:rsidR="00CC5CD7">
        <w:rPr>
          <w:rFonts w:ascii="Times New Roman" w:hAnsi="Times New Roman" w:cs="Times New Roman"/>
          <w:sz w:val="24"/>
          <w:szCs w:val="24"/>
        </w:rPr>
        <w:t>plenas condições</w:t>
      </w:r>
      <w:r w:rsidR="00005C7E">
        <w:rPr>
          <w:rFonts w:ascii="Times New Roman" w:hAnsi="Times New Roman" w:cs="Times New Roman"/>
          <w:sz w:val="24"/>
          <w:szCs w:val="24"/>
        </w:rPr>
        <w:t xml:space="preserve"> de prover o óleo de soja necessário</w:t>
      </w:r>
      <w:r w:rsidR="00372996">
        <w:rPr>
          <w:rFonts w:ascii="Times New Roman" w:hAnsi="Times New Roman" w:cs="Times New Roman"/>
          <w:sz w:val="24"/>
          <w:szCs w:val="24"/>
        </w:rPr>
        <w:t xml:space="preserve"> </w:t>
      </w:r>
      <w:r w:rsidR="00005C7E">
        <w:rPr>
          <w:rFonts w:ascii="Times New Roman" w:hAnsi="Times New Roman" w:cs="Times New Roman"/>
          <w:sz w:val="24"/>
          <w:szCs w:val="24"/>
        </w:rPr>
        <w:t>para atender à demanda por biodiesel resultante do aumento do consumo de óleo diesel</w:t>
      </w:r>
      <w:r w:rsidR="00A22765">
        <w:rPr>
          <w:rFonts w:ascii="Times New Roman" w:hAnsi="Times New Roman" w:cs="Times New Roman"/>
          <w:sz w:val="24"/>
          <w:szCs w:val="24"/>
        </w:rPr>
        <w:t xml:space="preserve"> em 2020 </w:t>
      </w:r>
      <w:r w:rsidR="001619C6">
        <w:rPr>
          <w:rFonts w:ascii="Times New Roman" w:hAnsi="Times New Roman" w:cs="Times New Roman"/>
          <w:sz w:val="24"/>
          <w:szCs w:val="24"/>
        </w:rPr>
        <w:t>(T</w:t>
      </w:r>
      <w:r w:rsidR="009F2EA5">
        <w:rPr>
          <w:rFonts w:ascii="Times New Roman" w:hAnsi="Times New Roman" w:cs="Times New Roman"/>
          <w:sz w:val="24"/>
          <w:szCs w:val="24"/>
        </w:rPr>
        <w:t>abela 2</w:t>
      </w:r>
      <w:r w:rsidR="00005C7E">
        <w:rPr>
          <w:rFonts w:ascii="Times New Roman" w:hAnsi="Times New Roman" w:cs="Times New Roman"/>
          <w:sz w:val="24"/>
          <w:szCs w:val="24"/>
        </w:rPr>
        <w:t>).</w:t>
      </w:r>
    </w:p>
    <w:p w:rsidR="001F3C46" w:rsidRDefault="001F3C46" w:rsidP="001F3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9C6" w:rsidRDefault="009F2EA5" w:rsidP="001F3C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2</w:t>
      </w:r>
    </w:p>
    <w:p w:rsidR="001F3C46" w:rsidRDefault="001F3C46" w:rsidP="001F3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D12" w:rsidRDefault="007D6B4D" w:rsidP="001619C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Projeções de demanda por óleo de soja e necessidade de esmagamento para produção de biodiesel – Brasil e Rio Grande do Sul</w:t>
      </w:r>
      <w:r w:rsidR="006166CB">
        <w:rPr>
          <w:rFonts w:ascii="Times New Roman" w:hAnsi="Times New Roman" w:cs="Times New Roman"/>
          <w:sz w:val="24"/>
          <w:szCs w:val="24"/>
        </w:rPr>
        <w:t xml:space="preserve"> (em milhares de toneladas)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2940"/>
        <w:gridCol w:w="797"/>
        <w:gridCol w:w="963"/>
        <w:gridCol w:w="800"/>
        <w:gridCol w:w="960"/>
      </w:tblGrid>
      <w:tr w:rsidR="007C67B9" w:rsidRPr="0007451E" w:rsidTr="00387475">
        <w:trPr>
          <w:trHeight w:val="270"/>
        </w:trPr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Mistura mandatória</w:t>
            </w:r>
          </w:p>
        </w:tc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Discriminação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Brasil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RS</w:t>
            </w:r>
          </w:p>
        </w:tc>
      </w:tr>
      <w:tr w:rsidR="007C67B9" w:rsidRPr="0007451E" w:rsidTr="00387475">
        <w:trPr>
          <w:trHeight w:val="285"/>
        </w:trPr>
        <w:tc>
          <w:tcPr>
            <w:tcW w:w="1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2020</w:t>
            </w:r>
          </w:p>
        </w:tc>
      </w:tr>
      <w:tr w:rsidR="007C67B9" w:rsidRPr="0007451E" w:rsidTr="00387475">
        <w:trPr>
          <w:trHeight w:val="255"/>
        </w:trPr>
        <w:tc>
          <w:tcPr>
            <w:tcW w:w="17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B5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de soja necessário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6C18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263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670</w:t>
            </w:r>
          </w:p>
        </w:tc>
      </w:tr>
      <w:tr w:rsidR="007C67B9" w:rsidRPr="0007451E" w:rsidTr="00387475">
        <w:trPr>
          <w:trHeight w:val="270"/>
        </w:trPr>
        <w:tc>
          <w:tcPr>
            <w:tcW w:w="17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Esmagamento necessário</w:t>
            </w:r>
          </w:p>
        </w:tc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="006C18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  <w:r w:rsidR="006C181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910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527</w:t>
            </w:r>
          </w:p>
        </w:tc>
      </w:tr>
      <w:tr w:rsidR="007C67B9" w:rsidRPr="0007451E" w:rsidTr="00387475">
        <w:trPr>
          <w:trHeight w:val="255"/>
        </w:trPr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B20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Óleo de soja necessário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632</w:t>
            </w:r>
          </w:p>
        </w:tc>
      </w:tr>
      <w:tr w:rsidR="007C67B9" w:rsidRPr="0007451E" w:rsidTr="00387475">
        <w:trPr>
          <w:trHeight w:val="270"/>
        </w:trPr>
        <w:tc>
          <w:tcPr>
            <w:tcW w:w="17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C67B9" w:rsidRPr="0007451E" w:rsidRDefault="007C67B9" w:rsidP="003874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Esmagamento necessário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C67B9" w:rsidRPr="0007451E" w:rsidRDefault="007C67B9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67B9" w:rsidRPr="0007451E" w:rsidRDefault="006C181C" w:rsidP="00387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</w:t>
            </w:r>
            <w:r w:rsidR="007C67B9" w:rsidRPr="000745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853</w:t>
            </w:r>
          </w:p>
        </w:tc>
      </w:tr>
    </w:tbl>
    <w:p w:rsidR="007C67B9" w:rsidRDefault="006166CB" w:rsidP="0007451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E207D">
        <w:rPr>
          <w:rFonts w:ascii="Times New Roman" w:hAnsi="Times New Roman" w:cs="Times New Roman"/>
          <w:sz w:val="24"/>
          <w:szCs w:val="24"/>
        </w:rPr>
        <w:t>ONTE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451E">
        <w:rPr>
          <w:rFonts w:ascii="Times New Roman" w:hAnsi="Times New Roman" w:cs="Times New Roman"/>
          <w:sz w:val="24"/>
          <w:szCs w:val="24"/>
        </w:rPr>
        <w:t>estimativas do</w:t>
      </w:r>
      <w:r>
        <w:rPr>
          <w:rFonts w:ascii="Times New Roman" w:hAnsi="Times New Roman" w:cs="Times New Roman"/>
          <w:sz w:val="24"/>
          <w:szCs w:val="24"/>
        </w:rPr>
        <w:t xml:space="preserve"> autor a partir de </w:t>
      </w:r>
      <w:r w:rsidR="00820680">
        <w:rPr>
          <w:rFonts w:ascii="Times New Roman" w:hAnsi="Times New Roman" w:cs="Times New Roman"/>
          <w:sz w:val="24"/>
          <w:szCs w:val="24"/>
        </w:rPr>
        <w:t>Brasil</w:t>
      </w:r>
      <w:r>
        <w:rPr>
          <w:rFonts w:ascii="Times New Roman" w:hAnsi="Times New Roman" w:cs="Times New Roman"/>
          <w:sz w:val="24"/>
          <w:szCs w:val="24"/>
        </w:rPr>
        <w:t xml:space="preserve"> (2011</w:t>
      </w:r>
      <w:r w:rsidR="001619C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F3C46" w:rsidRDefault="007C35F4" w:rsidP="0092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o descompasso entre oferta e demanda </w:t>
      </w:r>
      <w:r w:rsidR="00D71B9F">
        <w:rPr>
          <w:rFonts w:ascii="Times New Roman" w:hAnsi="Times New Roman" w:cs="Times New Roman"/>
          <w:sz w:val="24"/>
          <w:szCs w:val="24"/>
        </w:rPr>
        <w:t>surge</w:t>
      </w:r>
      <w:r>
        <w:rPr>
          <w:rFonts w:ascii="Times New Roman" w:hAnsi="Times New Roman" w:cs="Times New Roman"/>
          <w:sz w:val="24"/>
          <w:szCs w:val="24"/>
        </w:rPr>
        <w:t xml:space="preserve"> quando se avalia os resultados para o cenário de aumento gradual da mistura mandatória até o B20 em 2020.</w:t>
      </w:r>
      <w:r w:rsidR="00E7311D">
        <w:rPr>
          <w:rFonts w:ascii="Times New Roman" w:hAnsi="Times New Roman" w:cs="Times New Roman"/>
          <w:sz w:val="24"/>
          <w:szCs w:val="24"/>
        </w:rPr>
        <w:t xml:space="preserve"> A indústria brasileira de óleos vegetais, que em 2010 processou cerca de 35,7 milhões de toneladas de soja</w:t>
      </w:r>
      <w:r w:rsidR="00D30C21">
        <w:rPr>
          <w:rFonts w:ascii="Times New Roman" w:hAnsi="Times New Roman" w:cs="Times New Roman"/>
          <w:sz w:val="24"/>
          <w:szCs w:val="24"/>
        </w:rPr>
        <w:t xml:space="preserve"> segundo a ABIOVE (2012</w:t>
      </w:r>
      <w:r w:rsidR="0009322C">
        <w:rPr>
          <w:rFonts w:ascii="Times New Roman" w:hAnsi="Times New Roman" w:cs="Times New Roman"/>
          <w:sz w:val="24"/>
          <w:szCs w:val="24"/>
        </w:rPr>
        <w:t>)</w:t>
      </w:r>
      <w:r w:rsidR="00E7311D">
        <w:rPr>
          <w:rFonts w:ascii="Times New Roman" w:hAnsi="Times New Roman" w:cs="Times New Roman"/>
          <w:sz w:val="24"/>
          <w:szCs w:val="24"/>
        </w:rPr>
        <w:t xml:space="preserve">, precisaria esmagar 46,7 milhões de toneladas apenas para prover o óleo necessário para garantir </w:t>
      </w:r>
      <w:r w:rsidR="001F3C46">
        <w:rPr>
          <w:rFonts w:ascii="Times New Roman" w:hAnsi="Times New Roman" w:cs="Times New Roman"/>
          <w:sz w:val="24"/>
          <w:szCs w:val="24"/>
        </w:rPr>
        <w:t>o B20 em 2020</w:t>
      </w:r>
      <w:r w:rsidR="00E7311D">
        <w:rPr>
          <w:rFonts w:ascii="Times New Roman" w:hAnsi="Times New Roman" w:cs="Times New Roman"/>
          <w:sz w:val="24"/>
          <w:szCs w:val="24"/>
        </w:rPr>
        <w:t>.</w:t>
      </w:r>
      <w:r w:rsidR="007B303E">
        <w:rPr>
          <w:rFonts w:ascii="Times New Roman" w:hAnsi="Times New Roman" w:cs="Times New Roman"/>
          <w:sz w:val="24"/>
          <w:szCs w:val="24"/>
        </w:rPr>
        <w:t xml:space="preserve"> Somada essa demanda </w:t>
      </w:r>
      <w:r w:rsidR="001F3C46">
        <w:rPr>
          <w:rFonts w:ascii="Times New Roman" w:hAnsi="Times New Roman" w:cs="Times New Roman"/>
          <w:sz w:val="24"/>
          <w:szCs w:val="24"/>
        </w:rPr>
        <w:t>à</w:t>
      </w:r>
      <w:r w:rsidR="007B303E">
        <w:rPr>
          <w:rFonts w:ascii="Times New Roman" w:hAnsi="Times New Roman" w:cs="Times New Roman"/>
          <w:sz w:val="24"/>
          <w:szCs w:val="24"/>
        </w:rPr>
        <w:t xml:space="preserve"> necessidade interna de óleo para fins alimentícios, estima-se que o esmagamento de soja no Brasil precisaria atingir cerca de 66 milhões de toneladas em 2020.  </w:t>
      </w:r>
    </w:p>
    <w:p w:rsidR="005A05C6" w:rsidRDefault="00923BF6" w:rsidP="0092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sob a manutenção d</w:t>
      </w:r>
      <w:r w:rsidR="00C074F3">
        <w:rPr>
          <w:rFonts w:ascii="Times New Roman" w:hAnsi="Times New Roman" w:cs="Times New Roman"/>
          <w:sz w:val="24"/>
          <w:szCs w:val="24"/>
        </w:rPr>
        <w:t xml:space="preserve">o crescimento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A2276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demanda</w:t>
      </w:r>
      <w:r w:rsidR="00A22765">
        <w:rPr>
          <w:rFonts w:ascii="Times New Roman" w:hAnsi="Times New Roman" w:cs="Times New Roman"/>
          <w:sz w:val="24"/>
          <w:szCs w:val="24"/>
        </w:rPr>
        <w:t>s</w:t>
      </w:r>
      <w:r w:rsidR="00C07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</w:t>
      </w:r>
      <w:r w:rsidR="00C07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externa pelo farelo de soja produzido no Brasil ob</w:t>
      </w:r>
      <w:r w:rsidR="00C074F3">
        <w:rPr>
          <w:rFonts w:ascii="Times New Roman" w:hAnsi="Times New Roman" w:cs="Times New Roman"/>
          <w:sz w:val="24"/>
          <w:szCs w:val="24"/>
        </w:rPr>
        <w:t>servado na última década</w:t>
      </w:r>
      <w:r w:rsidR="002C5D41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C074F3">
        <w:rPr>
          <w:rFonts w:ascii="Times New Roman" w:hAnsi="Times New Roman" w:cs="Times New Roman"/>
          <w:sz w:val="24"/>
          <w:szCs w:val="24"/>
        </w:rPr>
        <w:t xml:space="preserve">, </w:t>
      </w:r>
      <w:r w:rsidR="00545A81">
        <w:rPr>
          <w:rFonts w:ascii="Times New Roman" w:hAnsi="Times New Roman" w:cs="Times New Roman"/>
          <w:sz w:val="24"/>
          <w:szCs w:val="24"/>
        </w:rPr>
        <w:t xml:space="preserve">o processamento </w:t>
      </w:r>
      <w:r w:rsidR="0009322C">
        <w:rPr>
          <w:rFonts w:ascii="Times New Roman" w:hAnsi="Times New Roman" w:cs="Times New Roman"/>
          <w:sz w:val="24"/>
          <w:szCs w:val="24"/>
        </w:rPr>
        <w:t>efetivo</w:t>
      </w:r>
      <w:r w:rsidR="00545A81">
        <w:rPr>
          <w:rFonts w:ascii="Times New Roman" w:hAnsi="Times New Roman" w:cs="Times New Roman"/>
          <w:sz w:val="24"/>
          <w:szCs w:val="24"/>
        </w:rPr>
        <w:t xml:space="preserve"> </w:t>
      </w:r>
      <w:r w:rsidR="001F3C46">
        <w:rPr>
          <w:rFonts w:ascii="Times New Roman" w:hAnsi="Times New Roman" w:cs="Times New Roman"/>
          <w:sz w:val="24"/>
          <w:szCs w:val="24"/>
        </w:rPr>
        <w:t>dificilmente</w:t>
      </w:r>
      <w:r w:rsidR="005130D5">
        <w:rPr>
          <w:rFonts w:ascii="Times New Roman" w:hAnsi="Times New Roman" w:cs="Times New Roman"/>
          <w:sz w:val="24"/>
          <w:szCs w:val="24"/>
        </w:rPr>
        <w:t xml:space="preserve"> </w:t>
      </w:r>
      <w:r w:rsidR="009639B3">
        <w:rPr>
          <w:rFonts w:ascii="Times New Roman" w:hAnsi="Times New Roman" w:cs="Times New Roman"/>
          <w:sz w:val="24"/>
          <w:szCs w:val="24"/>
        </w:rPr>
        <w:t>atingirá</w:t>
      </w:r>
      <w:r w:rsidR="005130D5">
        <w:rPr>
          <w:rFonts w:ascii="Times New Roman" w:hAnsi="Times New Roman" w:cs="Times New Roman"/>
          <w:sz w:val="24"/>
          <w:szCs w:val="24"/>
        </w:rPr>
        <w:t xml:space="preserve"> tal monta, devendo estar próximo de</w:t>
      </w:r>
      <w:r w:rsidR="00545A81">
        <w:rPr>
          <w:rFonts w:ascii="Times New Roman" w:hAnsi="Times New Roman" w:cs="Times New Roman"/>
          <w:sz w:val="24"/>
          <w:szCs w:val="24"/>
        </w:rPr>
        <w:t xml:space="preserve"> 56 milhões de toneladas em 2020. </w:t>
      </w:r>
      <w:r>
        <w:rPr>
          <w:rFonts w:ascii="Times New Roman" w:hAnsi="Times New Roman" w:cs="Times New Roman"/>
          <w:sz w:val="24"/>
          <w:szCs w:val="24"/>
        </w:rPr>
        <w:t xml:space="preserve">Logo, </w:t>
      </w:r>
      <w:r w:rsidR="005130D5">
        <w:rPr>
          <w:rFonts w:ascii="Times New Roman" w:hAnsi="Times New Roman" w:cs="Times New Roman"/>
          <w:sz w:val="24"/>
          <w:szCs w:val="24"/>
        </w:rPr>
        <w:t>é pouco provável que o país</w:t>
      </w:r>
      <w:r>
        <w:rPr>
          <w:rFonts w:ascii="Times New Roman" w:hAnsi="Times New Roman" w:cs="Times New Roman"/>
          <w:sz w:val="24"/>
          <w:szCs w:val="24"/>
        </w:rPr>
        <w:t xml:space="preserve"> disponha de óleo de soja suficiente para assegurar o B20</w:t>
      </w:r>
      <w:r w:rsidR="005130D5">
        <w:rPr>
          <w:rFonts w:ascii="Times New Roman" w:hAnsi="Times New Roman" w:cs="Times New Roman"/>
          <w:sz w:val="24"/>
          <w:szCs w:val="24"/>
        </w:rPr>
        <w:t xml:space="preserve"> em 2020</w:t>
      </w:r>
      <w:r w:rsidR="002C5D41">
        <w:rPr>
          <w:rFonts w:ascii="Times New Roman" w:hAnsi="Times New Roman" w:cs="Times New Roman"/>
          <w:sz w:val="24"/>
          <w:szCs w:val="24"/>
        </w:rPr>
        <w:t>, exceto sob a hipótese de expansão ainda maior da participação de outras fontes de matéria prima na produção do biodiesel brasileiro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5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B88" w:rsidRDefault="00923BF6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cenário projetado para o Rio Grande do Sul </w:t>
      </w:r>
      <w:r w:rsidR="0009322C">
        <w:rPr>
          <w:rFonts w:ascii="Times New Roman" w:hAnsi="Times New Roman" w:cs="Times New Roman"/>
          <w:sz w:val="24"/>
          <w:szCs w:val="24"/>
        </w:rPr>
        <w:t>aponta para</w:t>
      </w:r>
      <w:r w:rsidR="00867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desequilíbrio</w:t>
      </w:r>
      <w:r w:rsidR="008670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ainda maior</w:t>
      </w:r>
      <w:r w:rsidR="0086701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322C">
        <w:rPr>
          <w:rFonts w:ascii="Times New Roman" w:hAnsi="Times New Roman" w:cs="Times New Roman"/>
          <w:sz w:val="24"/>
          <w:szCs w:val="24"/>
        </w:rPr>
        <w:t>É verdade que sob</w:t>
      </w:r>
      <w:r w:rsidR="00867010">
        <w:rPr>
          <w:rFonts w:ascii="Times New Roman" w:hAnsi="Times New Roman" w:cs="Times New Roman"/>
          <w:sz w:val="24"/>
          <w:szCs w:val="24"/>
        </w:rPr>
        <w:t xml:space="preserve"> a manutenção do B5, </w:t>
      </w:r>
      <w:r w:rsidR="00027488">
        <w:rPr>
          <w:rFonts w:ascii="Times New Roman" w:hAnsi="Times New Roman" w:cs="Times New Roman"/>
          <w:sz w:val="24"/>
          <w:szCs w:val="24"/>
        </w:rPr>
        <w:t>a necessidade adicional de óleo de soja (</w:t>
      </w:r>
      <w:r w:rsidR="00047C50">
        <w:rPr>
          <w:rFonts w:ascii="Times New Roman" w:hAnsi="Times New Roman" w:cs="Times New Roman"/>
          <w:sz w:val="24"/>
          <w:szCs w:val="24"/>
        </w:rPr>
        <w:t>148</w:t>
      </w:r>
      <w:r w:rsidR="00027488">
        <w:rPr>
          <w:rFonts w:ascii="Times New Roman" w:hAnsi="Times New Roman" w:cs="Times New Roman"/>
          <w:sz w:val="24"/>
          <w:szCs w:val="24"/>
        </w:rPr>
        <w:t xml:space="preserve"> mil toneladas) poderia ser </w:t>
      </w:r>
      <w:r w:rsidR="00CE0B3C">
        <w:rPr>
          <w:rFonts w:ascii="Times New Roman" w:hAnsi="Times New Roman" w:cs="Times New Roman"/>
          <w:sz w:val="24"/>
          <w:szCs w:val="24"/>
        </w:rPr>
        <w:t xml:space="preserve">totalmente </w:t>
      </w:r>
      <w:r w:rsidR="00027488">
        <w:rPr>
          <w:rFonts w:ascii="Times New Roman" w:hAnsi="Times New Roman" w:cs="Times New Roman"/>
          <w:sz w:val="24"/>
          <w:szCs w:val="24"/>
        </w:rPr>
        <w:t xml:space="preserve">atendida via </w:t>
      </w:r>
      <w:r w:rsidR="00A00620">
        <w:rPr>
          <w:rFonts w:ascii="Times New Roman" w:hAnsi="Times New Roman" w:cs="Times New Roman"/>
          <w:sz w:val="24"/>
          <w:szCs w:val="24"/>
        </w:rPr>
        <w:t>deslocamento</w:t>
      </w:r>
      <w:r w:rsidR="00027488">
        <w:rPr>
          <w:rFonts w:ascii="Times New Roman" w:hAnsi="Times New Roman" w:cs="Times New Roman"/>
          <w:sz w:val="24"/>
          <w:szCs w:val="24"/>
        </w:rPr>
        <w:t xml:space="preserve"> das exportações</w:t>
      </w:r>
      <w:r w:rsidR="00A00620">
        <w:rPr>
          <w:rFonts w:ascii="Times New Roman" w:hAnsi="Times New Roman" w:cs="Times New Roman"/>
          <w:sz w:val="24"/>
          <w:szCs w:val="24"/>
        </w:rPr>
        <w:t xml:space="preserve"> para o mercado interno</w:t>
      </w:r>
      <w:r w:rsidR="00027488">
        <w:rPr>
          <w:rFonts w:ascii="Times New Roman" w:hAnsi="Times New Roman" w:cs="Times New Roman"/>
          <w:sz w:val="24"/>
          <w:szCs w:val="24"/>
        </w:rPr>
        <w:t>. Porém,</w:t>
      </w:r>
      <w:r w:rsidR="00CE0B3C">
        <w:rPr>
          <w:rFonts w:ascii="Times New Roman" w:hAnsi="Times New Roman" w:cs="Times New Roman"/>
          <w:sz w:val="24"/>
          <w:szCs w:val="24"/>
        </w:rPr>
        <w:t xml:space="preserve"> é muito pouco provável que o E</w:t>
      </w:r>
      <w:r w:rsidR="006D6A9B">
        <w:rPr>
          <w:rFonts w:ascii="Times New Roman" w:hAnsi="Times New Roman" w:cs="Times New Roman"/>
          <w:sz w:val="24"/>
          <w:szCs w:val="24"/>
        </w:rPr>
        <w:t>stado seja capaz de suprir toda a demanda de óleo de soja exigida para manter sua importância na produção nacional se a mistura mandatóri</w:t>
      </w:r>
      <w:r w:rsidR="00047C50">
        <w:rPr>
          <w:rFonts w:ascii="Times New Roman" w:hAnsi="Times New Roman" w:cs="Times New Roman"/>
          <w:sz w:val="24"/>
          <w:szCs w:val="24"/>
        </w:rPr>
        <w:t xml:space="preserve">a for elevada para </w:t>
      </w:r>
      <w:r w:rsidR="0009322C">
        <w:rPr>
          <w:rFonts w:ascii="Times New Roman" w:hAnsi="Times New Roman" w:cs="Times New Roman"/>
          <w:sz w:val="24"/>
          <w:szCs w:val="24"/>
        </w:rPr>
        <w:t>20% em 2020</w:t>
      </w:r>
      <w:r w:rsidR="00CD4682">
        <w:rPr>
          <w:rFonts w:ascii="Times New Roman" w:hAnsi="Times New Roman" w:cs="Times New Roman"/>
          <w:sz w:val="24"/>
          <w:szCs w:val="24"/>
        </w:rPr>
        <w:t>. P</w:t>
      </w:r>
      <w:r w:rsidR="00047C50">
        <w:rPr>
          <w:rFonts w:ascii="Times New Roman" w:hAnsi="Times New Roman" w:cs="Times New Roman"/>
          <w:sz w:val="24"/>
          <w:szCs w:val="24"/>
        </w:rPr>
        <w:t>ara atender à demanda</w:t>
      </w:r>
      <w:r w:rsidR="002F0C55">
        <w:rPr>
          <w:rFonts w:ascii="Times New Roman" w:hAnsi="Times New Roman" w:cs="Times New Roman"/>
          <w:sz w:val="24"/>
          <w:szCs w:val="24"/>
        </w:rPr>
        <w:t xml:space="preserve"> de óleo</w:t>
      </w:r>
      <w:r w:rsidR="00047C50">
        <w:rPr>
          <w:rFonts w:ascii="Times New Roman" w:hAnsi="Times New Roman" w:cs="Times New Roman"/>
          <w:sz w:val="24"/>
          <w:szCs w:val="24"/>
        </w:rPr>
        <w:t xml:space="preserve"> para produção de biodiesel seria necessário </w:t>
      </w:r>
      <w:r w:rsidR="00CD4682">
        <w:rPr>
          <w:rFonts w:ascii="Times New Roman" w:hAnsi="Times New Roman" w:cs="Times New Roman"/>
          <w:sz w:val="24"/>
          <w:szCs w:val="24"/>
        </w:rPr>
        <w:t>atingir um processamento de</w:t>
      </w:r>
      <w:r w:rsidR="00047C50">
        <w:rPr>
          <w:rFonts w:ascii="Times New Roman" w:hAnsi="Times New Roman" w:cs="Times New Roman"/>
          <w:sz w:val="24"/>
          <w:szCs w:val="24"/>
        </w:rPr>
        <w:t xml:space="preserve"> 13,8 milhões de toneladas de soja, quantidade superior em 2,2 milhões de toneladas à safra gaúcha em 2011</w:t>
      </w:r>
      <w:r w:rsidR="002F0C55">
        <w:rPr>
          <w:rFonts w:ascii="Times New Roman" w:hAnsi="Times New Roman" w:cs="Times New Roman"/>
          <w:sz w:val="24"/>
          <w:szCs w:val="24"/>
        </w:rPr>
        <w:t>, segundo números da CONAB</w:t>
      </w:r>
      <w:r w:rsidR="00CE0B3C">
        <w:rPr>
          <w:rFonts w:ascii="Times New Roman" w:hAnsi="Times New Roman" w:cs="Times New Roman"/>
          <w:sz w:val="24"/>
          <w:szCs w:val="24"/>
        </w:rPr>
        <w:t xml:space="preserve"> (Brasil, 2011a)</w:t>
      </w:r>
      <w:r w:rsidR="00047C50">
        <w:rPr>
          <w:rFonts w:ascii="Times New Roman" w:hAnsi="Times New Roman" w:cs="Times New Roman"/>
          <w:sz w:val="24"/>
          <w:szCs w:val="24"/>
        </w:rPr>
        <w:t>.</w:t>
      </w:r>
      <w:r w:rsidR="0048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26A" w:rsidRDefault="0009322C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7BA0">
        <w:rPr>
          <w:rFonts w:ascii="Times New Roman" w:hAnsi="Times New Roman" w:cs="Times New Roman"/>
          <w:sz w:val="24"/>
          <w:szCs w:val="24"/>
        </w:rPr>
        <w:t xml:space="preserve"> </w:t>
      </w:r>
      <w:r w:rsidR="00FC3755">
        <w:rPr>
          <w:rFonts w:ascii="Times New Roman" w:hAnsi="Times New Roman" w:cs="Times New Roman"/>
          <w:sz w:val="24"/>
          <w:szCs w:val="24"/>
        </w:rPr>
        <w:t>desobstrução</w:t>
      </w:r>
      <w:r w:rsidR="00487BA0">
        <w:rPr>
          <w:rFonts w:ascii="Times New Roman" w:hAnsi="Times New Roman" w:cs="Times New Roman"/>
          <w:sz w:val="24"/>
          <w:szCs w:val="24"/>
        </w:rPr>
        <w:t xml:space="preserve"> total</w:t>
      </w:r>
      <w:r w:rsidR="00FC3755">
        <w:rPr>
          <w:rFonts w:ascii="Times New Roman" w:hAnsi="Times New Roman" w:cs="Times New Roman"/>
          <w:sz w:val="24"/>
          <w:szCs w:val="24"/>
        </w:rPr>
        <w:t xml:space="preserve"> das amarras tributárias internas que dificultam o aumento do processamento de soja</w:t>
      </w:r>
      <w:r>
        <w:rPr>
          <w:rFonts w:ascii="Times New Roman" w:hAnsi="Times New Roman" w:cs="Times New Roman"/>
          <w:sz w:val="24"/>
          <w:szCs w:val="24"/>
        </w:rPr>
        <w:t xml:space="preserve"> no Brasil não seria suficiente para a realização desse cenário</w:t>
      </w:r>
      <w:r w:rsidR="00487BA0">
        <w:rPr>
          <w:rFonts w:ascii="Times New Roman" w:hAnsi="Times New Roman" w:cs="Times New Roman"/>
          <w:sz w:val="24"/>
          <w:szCs w:val="24"/>
        </w:rPr>
        <w:t xml:space="preserve">. </w:t>
      </w:r>
      <w:r w:rsidR="002F0C55">
        <w:rPr>
          <w:rFonts w:ascii="Times New Roman" w:hAnsi="Times New Roman" w:cs="Times New Roman"/>
          <w:sz w:val="24"/>
          <w:szCs w:val="24"/>
        </w:rPr>
        <w:t>Assim, p</w:t>
      </w:r>
      <w:r w:rsidR="00015B88">
        <w:rPr>
          <w:rFonts w:ascii="Times New Roman" w:hAnsi="Times New Roman" w:cs="Times New Roman"/>
          <w:sz w:val="24"/>
          <w:szCs w:val="24"/>
        </w:rPr>
        <w:t>ara que o E</w:t>
      </w:r>
      <w:r w:rsidR="00487BA0">
        <w:rPr>
          <w:rFonts w:ascii="Times New Roman" w:hAnsi="Times New Roman" w:cs="Times New Roman"/>
          <w:sz w:val="24"/>
          <w:szCs w:val="24"/>
        </w:rPr>
        <w:t xml:space="preserve">stado tenha condições de viabilizar a expansão da oferta de matéria prima </w:t>
      </w:r>
      <w:r>
        <w:rPr>
          <w:rFonts w:ascii="Times New Roman" w:hAnsi="Times New Roman" w:cs="Times New Roman"/>
          <w:sz w:val="24"/>
          <w:szCs w:val="24"/>
        </w:rPr>
        <w:t>em escala suficiente para preservar sua importância nacional,</w:t>
      </w:r>
      <w:r w:rsidR="00FC3755">
        <w:rPr>
          <w:rFonts w:ascii="Times New Roman" w:hAnsi="Times New Roman" w:cs="Times New Roman"/>
          <w:sz w:val="24"/>
          <w:szCs w:val="24"/>
        </w:rPr>
        <w:t xml:space="preserve"> </w:t>
      </w:r>
      <w:r w:rsidR="00487BA0">
        <w:rPr>
          <w:rFonts w:ascii="Times New Roman" w:hAnsi="Times New Roman" w:cs="Times New Roman"/>
          <w:sz w:val="24"/>
          <w:szCs w:val="24"/>
        </w:rPr>
        <w:t>dois difíceis objetivos</w:t>
      </w:r>
      <w:r w:rsidR="007A5C55">
        <w:rPr>
          <w:rFonts w:ascii="Times New Roman" w:hAnsi="Times New Roman" w:cs="Times New Roman"/>
          <w:sz w:val="24"/>
          <w:szCs w:val="24"/>
        </w:rPr>
        <w:t xml:space="preserve"> </w:t>
      </w:r>
      <w:r w:rsidR="00487BA0">
        <w:rPr>
          <w:rFonts w:ascii="Times New Roman" w:hAnsi="Times New Roman" w:cs="Times New Roman"/>
          <w:sz w:val="24"/>
          <w:szCs w:val="24"/>
        </w:rPr>
        <w:t xml:space="preserve">complementares </w:t>
      </w:r>
      <w:r w:rsidR="002F0C55">
        <w:rPr>
          <w:rFonts w:ascii="Times New Roman" w:hAnsi="Times New Roman" w:cs="Times New Roman"/>
          <w:sz w:val="24"/>
          <w:szCs w:val="24"/>
        </w:rPr>
        <w:t>precisam ser cumpridos</w:t>
      </w:r>
      <w:r>
        <w:rPr>
          <w:rFonts w:ascii="Times New Roman" w:hAnsi="Times New Roman" w:cs="Times New Roman"/>
          <w:sz w:val="24"/>
          <w:szCs w:val="24"/>
        </w:rPr>
        <w:t xml:space="preserve"> no período de análise.</w:t>
      </w:r>
      <w:r w:rsidR="00876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F6D" w:rsidRDefault="00487BA0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primeiro</w:t>
      </w:r>
      <w:r w:rsidR="0001059F">
        <w:rPr>
          <w:rFonts w:ascii="Times New Roman" w:hAnsi="Times New Roman" w:cs="Times New Roman"/>
          <w:sz w:val="24"/>
          <w:szCs w:val="24"/>
        </w:rPr>
        <w:t xml:space="preserve"> é a</w:t>
      </w:r>
      <w:r w:rsidR="003A3936">
        <w:rPr>
          <w:rFonts w:ascii="Times New Roman" w:hAnsi="Times New Roman" w:cs="Times New Roman"/>
          <w:sz w:val="24"/>
          <w:szCs w:val="24"/>
        </w:rPr>
        <w:t xml:space="preserve"> abertura do mercado chinês de </w:t>
      </w:r>
      <w:proofErr w:type="gramStart"/>
      <w:r w:rsidR="003A3936">
        <w:rPr>
          <w:rFonts w:ascii="Times New Roman" w:hAnsi="Times New Roman" w:cs="Times New Roman"/>
          <w:sz w:val="24"/>
          <w:szCs w:val="24"/>
        </w:rPr>
        <w:t>carnes</w:t>
      </w:r>
      <w:r w:rsidR="008E5B3B">
        <w:rPr>
          <w:rFonts w:ascii="Times New Roman" w:hAnsi="Times New Roman" w:cs="Times New Roman"/>
          <w:sz w:val="24"/>
          <w:szCs w:val="24"/>
        </w:rPr>
        <w:t xml:space="preserve"> suína</w:t>
      </w:r>
      <w:proofErr w:type="gramEnd"/>
      <w:r w:rsidR="008E5B3B">
        <w:rPr>
          <w:rFonts w:ascii="Times New Roman" w:hAnsi="Times New Roman" w:cs="Times New Roman"/>
          <w:sz w:val="24"/>
          <w:szCs w:val="24"/>
        </w:rPr>
        <w:t xml:space="preserve"> e de aves</w:t>
      </w:r>
      <w:r w:rsidR="003A3936">
        <w:rPr>
          <w:rFonts w:ascii="Times New Roman" w:hAnsi="Times New Roman" w:cs="Times New Roman"/>
          <w:sz w:val="24"/>
          <w:szCs w:val="24"/>
        </w:rPr>
        <w:t>,</w:t>
      </w:r>
      <w:r w:rsidR="004C2CAB">
        <w:rPr>
          <w:rFonts w:ascii="Times New Roman" w:hAnsi="Times New Roman" w:cs="Times New Roman"/>
          <w:sz w:val="24"/>
          <w:szCs w:val="24"/>
        </w:rPr>
        <w:t xml:space="preserve"> o que permitiria ampliar o processamento </w:t>
      </w:r>
      <w:r w:rsidR="0009322C">
        <w:rPr>
          <w:rFonts w:ascii="Times New Roman" w:hAnsi="Times New Roman" w:cs="Times New Roman"/>
          <w:sz w:val="24"/>
          <w:szCs w:val="24"/>
        </w:rPr>
        <w:t xml:space="preserve">interno </w:t>
      </w:r>
      <w:r w:rsidR="004C2CAB">
        <w:rPr>
          <w:rFonts w:ascii="Times New Roman" w:hAnsi="Times New Roman" w:cs="Times New Roman"/>
          <w:sz w:val="24"/>
          <w:szCs w:val="24"/>
        </w:rPr>
        <w:t>de soja.</w:t>
      </w:r>
      <w:r w:rsidR="003A3936">
        <w:rPr>
          <w:rFonts w:ascii="Times New Roman" w:hAnsi="Times New Roman" w:cs="Times New Roman"/>
          <w:sz w:val="24"/>
          <w:szCs w:val="24"/>
        </w:rPr>
        <w:t xml:space="preserve"> </w:t>
      </w:r>
      <w:r w:rsidR="00DB065B">
        <w:rPr>
          <w:rFonts w:ascii="Times New Roman" w:hAnsi="Times New Roman" w:cs="Times New Roman"/>
          <w:sz w:val="24"/>
          <w:szCs w:val="24"/>
        </w:rPr>
        <w:t>O</w:t>
      </w:r>
      <w:r w:rsidR="004C2CAB">
        <w:rPr>
          <w:rFonts w:ascii="Times New Roman" w:hAnsi="Times New Roman" w:cs="Times New Roman"/>
          <w:sz w:val="24"/>
          <w:szCs w:val="24"/>
        </w:rPr>
        <w:t xml:space="preserve"> tema </w:t>
      </w:r>
      <w:r w:rsidR="003A3936">
        <w:rPr>
          <w:rFonts w:ascii="Times New Roman" w:hAnsi="Times New Roman" w:cs="Times New Roman"/>
          <w:sz w:val="24"/>
          <w:szCs w:val="24"/>
        </w:rPr>
        <w:t xml:space="preserve">foi alvo de memorando </w:t>
      </w:r>
      <w:r w:rsidR="008E5B3B">
        <w:rPr>
          <w:rFonts w:ascii="Times New Roman" w:hAnsi="Times New Roman" w:cs="Times New Roman"/>
          <w:sz w:val="24"/>
          <w:szCs w:val="24"/>
        </w:rPr>
        <w:t xml:space="preserve">de entendimento </w:t>
      </w:r>
      <w:r w:rsidR="003A3936">
        <w:rPr>
          <w:rFonts w:ascii="Times New Roman" w:hAnsi="Times New Roman" w:cs="Times New Roman"/>
          <w:sz w:val="24"/>
          <w:szCs w:val="24"/>
        </w:rPr>
        <w:t xml:space="preserve">assinado </w:t>
      </w:r>
      <w:r w:rsidR="008E5B3B">
        <w:rPr>
          <w:rFonts w:ascii="Times New Roman" w:hAnsi="Times New Roman" w:cs="Times New Roman"/>
          <w:sz w:val="24"/>
          <w:szCs w:val="24"/>
        </w:rPr>
        <w:t xml:space="preserve">em novembro de 2004 </w:t>
      </w:r>
      <w:r w:rsidR="003A3936">
        <w:rPr>
          <w:rFonts w:ascii="Times New Roman" w:hAnsi="Times New Roman" w:cs="Times New Roman"/>
          <w:sz w:val="24"/>
          <w:szCs w:val="24"/>
        </w:rPr>
        <w:t xml:space="preserve">pelos presidentes </w:t>
      </w:r>
      <w:r w:rsidR="009B526A">
        <w:rPr>
          <w:rFonts w:ascii="Times New Roman" w:hAnsi="Times New Roman" w:cs="Times New Roman"/>
          <w:sz w:val="24"/>
          <w:szCs w:val="24"/>
        </w:rPr>
        <w:t xml:space="preserve">Luiz Inácio Lula da Silva e </w:t>
      </w:r>
      <w:proofErr w:type="spellStart"/>
      <w:r w:rsidR="009B526A">
        <w:rPr>
          <w:rFonts w:ascii="Times New Roman" w:hAnsi="Times New Roman" w:cs="Times New Roman"/>
          <w:sz w:val="24"/>
          <w:szCs w:val="24"/>
        </w:rPr>
        <w:t>Hu</w:t>
      </w:r>
      <w:proofErr w:type="spellEnd"/>
      <w:r w:rsidR="009B52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26A">
        <w:rPr>
          <w:rFonts w:ascii="Times New Roman" w:hAnsi="Times New Roman" w:cs="Times New Roman"/>
          <w:sz w:val="24"/>
          <w:szCs w:val="24"/>
        </w:rPr>
        <w:t>Jintao</w:t>
      </w:r>
      <w:proofErr w:type="spellEnd"/>
      <w:r w:rsidR="00DB065B">
        <w:rPr>
          <w:rFonts w:ascii="Times New Roman" w:hAnsi="Times New Roman" w:cs="Times New Roman"/>
          <w:sz w:val="24"/>
          <w:szCs w:val="24"/>
        </w:rPr>
        <w:t>, porém as exportações brasileiras pouco avançaram</w:t>
      </w:r>
      <w:r w:rsidR="0012207E">
        <w:rPr>
          <w:rFonts w:ascii="Times New Roman" w:hAnsi="Times New Roman" w:cs="Times New Roman"/>
          <w:sz w:val="24"/>
          <w:szCs w:val="24"/>
        </w:rPr>
        <w:t xml:space="preserve"> nos primeiros anos</w:t>
      </w:r>
      <w:r w:rsidR="008E5B3B">
        <w:rPr>
          <w:rFonts w:ascii="Times New Roman" w:hAnsi="Times New Roman" w:cs="Times New Roman"/>
          <w:sz w:val="24"/>
          <w:szCs w:val="24"/>
        </w:rPr>
        <w:t xml:space="preserve">. </w:t>
      </w:r>
      <w:r w:rsidR="0012207E">
        <w:rPr>
          <w:rFonts w:ascii="Times New Roman" w:hAnsi="Times New Roman" w:cs="Times New Roman"/>
          <w:sz w:val="24"/>
          <w:szCs w:val="24"/>
        </w:rPr>
        <w:t>A partir de 2009</w:t>
      </w:r>
      <w:r w:rsidR="0012207E" w:rsidRPr="0012207E">
        <w:rPr>
          <w:rFonts w:ascii="Times New Roman" w:hAnsi="Times New Roman" w:cs="Times New Roman"/>
          <w:sz w:val="24"/>
          <w:szCs w:val="24"/>
        </w:rPr>
        <w:t xml:space="preserve"> o mercado chinês passou a comprar</w:t>
      </w:r>
      <w:r w:rsidR="0012207E">
        <w:rPr>
          <w:rFonts w:ascii="Times New Roman" w:hAnsi="Times New Roman" w:cs="Times New Roman"/>
          <w:sz w:val="24"/>
          <w:szCs w:val="24"/>
        </w:rPr>
        <w:t xml:space="preserve"> carne de frango</w:t>
      </w:r>
      <w:r w:rsidR="0012207E" w:rsidRPr="0012207E">
        <w:rPr>
          <w:rFonts w:ascii="Times New Roman" w:hAnsi="Times New Roman" w:cs="Times New Roman"/>
          <w:sz w:val="24"/>
          <w:szCs w:val="24"/>
        </w:rPr>
        <w:t xml:space="preserve"> diretamente</w:t>
      </w:r>
      <w:r w:rsidR="00982EF0">
        <w:rPr>
          <w:rStyle w:val="Refdenotaderodap"/>
          <w:rFonts w:ascii="Times New Roman" w:hAnsi="Times New Roman" w:cs="Times New Roman"/>
          <w:sz w:val="24"/>
          <w:szCs w:val="24"/>
        </w:rPr>
        <w:footnoteReference w:id="10"/>
      </w:r>
      <w:r w:rsidR="0012207E" w:rsidRPr="0012207E">
        <w:rPr>
          <w:rFonts w:ascii="Times New Roman" w:hAnsi="Times New Roman" w:cs="Times New Roman"/>
          <w:sz w:val="24"/>
          <w:szCs w:val="24"/>
        </w:rPr>
        <w:t xml:space="preserve"> </w:t>
      </w:r>
      <w:r w:rsidR="0012207E">
        <w:rPr>
          <w:rFonts w:ascii="Times New Roman" w:hAnsi="Times New Roman" w:cs="Times New Roman"/>
          <w:sz w:val="24"/>
          <w:szCs w:val="24"/>
        </w:rPr>
        <w:t>do Brasil</w:t>
      </w:r>
      <w:r w:rsidR="0012207E" w:rsidRPr="0012207E">
        <w:rPr>
          <w:rFonts w:ascii="Times New Roman" w:hAnsi="Times New Roman" w:cs="Times New Roman"/>
          <w:sz w:val="24"/>
          <w:szCs w:val="24"/>
        </w:rPr>
        <w:t xml:space="preserve"> </w:t>
      </w:r>
      <w:r w:rsidR="009B526A">
        <w:rPr>
          <w:rFonts w:ascii="Times New Roman" w:hAnsi="Times New Roman" w:cs="Times New Roman"/>
          <w:sz w:val="24"/>
          <w:szCs w:val="24"/>
        </w:rPr>
        <w:t xml:space="preserve">e </w:t>
      </w:r>
      <w:r w:rsidR="0012207E">
        <w:rPr>
          <w:rFonts w:ascii="Times New Roman" w:hAnsi="Times New Roman" w:cs="Times New Roman"/>
          <w:sz w:val="24"/>
          <w:szCs w:val="24"/>
        </w:rPr>
        <w:t>em</w:t>
      </w:r>
      <w:r w:rsidR="00F54F6D">
        <w:rPr>
          <w:rFonts w:ascii="Times New Roman" w:hAnsi="Times New Roman" w:cs="Times New Roman"/>
          <w:sz w:val="24"/>
          <w:szCs w:val="24"/>
        </w:rPr>
        <w:t xml:space="preserve"> 2011 três frigoríficos</w:t>
      </w:r>
      <w:r w:rsidR="0067411E">
        <w:rPr>
          <w:rFonts w:ascii="Times New Roman" w:hAnsi="Times New Roman" w:cs="Times New Roman"/>
          <w:sz w:val="24"/>
          <w:szCs w:val="24"/>
        </w:rPr>
        <w:t xml:space="preserve"> brasileiros </w:t>
      </w:r>
      <w:r w:rsidR="00A83130">
        <w:rPr>
          <w:rFonts w:ascii="Times New Roman" w:hAnsi="Times New Roman" w:cs="Times New Roman"/>
          <w:sz w:val="24"/>
          <w:szCs w:val="24"/>
        </w:rPr>
        <w:t xml:space="preserve">foram habilitados </w:t>
      </w:r>
      <w:r w:rsidR="0067411E">
        <w:rPr>
          <w:rFonts w:ascii="Times New Roman" w:hAnsi="Times New Roman" w:cs="Times New Roman"/>
          <w:sz w:val="24"/>
          <w:szCs w:val="24"/>
        </w:rPr>
        <w:t xml:space="preserve">a exportar </w:t>
      </w:r>
      <w:r w:rsidR="00A83130">
        <w:rPr>
          <w:rFonts w:ascii="Times New Roman" w:hAnsi="Times New Roman" w:cs="Times New Roman"/>
          <w:sz w:val="24"/>
          <w:szCs w:val="24"/>
        </w:rPr>
        <w:t xml:space="preserve">carne suína </w:t>
      </w:r>
      <w:r w:rsidR="0067411E">
        <w:rPr>
          <w:rFonts w:ascii="Times New Roman" w:hAnsi="Times New Roman" w:cs="Times New Roman"/>
          <w:sz w:val="24"/>
          <w:szCs w:val="24"/>
        </w:rPr>
        <w:t xml:space="preserve">para o país. Até o momento nenhum frigorífico gaúcho detém essa autorização, porém a expectativa é que com o estabelecimento do fluxo de comércio </w:t>
      </w:r>
      <w:r w:rsidR="00A83130">
        <w:rPr>
          <w:rFonts w:ascii="Times New Roman" w:hAnsi="Times New Roman" w:cs="Times New Roman"/>
          <w:sz w:val="24"/>
          <w:szCs w:val="24"/>
        </w:rPr>
        <w:t xml:space="preserve">isso </w:t>
      </w:r>
      <w:r w:rsidR="009B526A">
        <w:rPr>
          <w:rFonts w:ascii="Times New Roman" w:hAnsi="Times New Roman" w:cs="Times New Roman"/>
          <w:sz w:val="24"/>
          <w:szCs w:val="24"/>
        </w:rPr>
        <w:t xml:space="preserve">possa </w:t>
      </w:r>
      <w:r w:rsidR="00A83130">
        <w:rPr>
          <w:rFonts w:ascii="Times New Roman" w:hAnsi="Times New Roman" w:cs="Times New Roman"/>
          <w:sz w:val="24"/>
          <w:szCs w:val="24"/>
        </w:rPr>
        <w:t>ocorr</w:t>
      </w:r>
      <w:r w:rsidR="009B526A">
        <w:rPr>
          <w:rFonts w:ascii="Times New Roman" w:hAnsi="Times New Roman" w:cs="Times New Roman"/>
          <w:sz w:val="24"/>
          <w:szCs w:val="24"/>
        </w:rPr>
        <w:t>er</w:t>
      </w:r>
      <w:r w:rsidR="0012207E">
        <w:rPr>
          <w:rStyle w:val="Refdenotaderodap"/>
          <w:rFonts w:ascii="Times New Roman" w:hAnsi="Times New Roman" w:cs="Times New Roman"/>
          <w:sz w:val="24"/>
          <w:szCs w:val="24"/>
        </w:rPr>
        <w:footnoteReference w:id="11"/>
      </w:r>
      <w:r w:rsidR="0067411E">
        <w:rPr>
          <w:rFonts w:ascii="Times New Roman" w:hAnsi="Times New Roman" w:cs="Times New Roman"/>
          <w:sz w:val="24"/>
          <w:szCs w:val="24"/>
        </w:rPr>
        <w:t>.</w:t>
      </w:r>
      <w:r w:rsidR="00F43BBE">
        <w:rPr>
          <w:rFonts w:ascii="Times New Roman" w:hAnsi="Times New Roman" w:cs="Times New Roman"/>
          <w:sz w:val="24"/>
          <w:szCs w:val="24"/>
        </w:rPr>
        <w:t xml:space="preserve"> </w:t>
      </w:r>
      <w:r w:rsidR="00FD6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FF9" w:rsidRDefault="00F43BBE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segundo objetivo</w:t>
      </w:r>
      <w:r w:rsidR="00983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09322C">
        <w:rPr>
          <w:rFonts w:ascii="Times New Roman" w:hAnsi="Times New Roman" w:cs="Times New Roman"/>
          <w:sz w:val="24"/>
          <w:szCs w:val="24"/>
        </w:rPr>
        <w:t>a promoção da</w:t>
      </w:r>
      <w:r w:rsidR="00FC3755">
        <w:rPr>
          <w:rFonts w:ascii="Times New Roman" w:hAnsi="Times New Roman" w:cs="Times New Roman"/>
          <w:sz w:val="24"/>
          <w:szCs w:val="24"/>
        </w:rPr>
        <w:t xml:space="preserve"> diversificação das fontes de matéria prima utilizadas para a produção do biodiesel gaúcho.</w:t>
      </w:r>
      <w:r w:rsidR="00800B55">
        <w:rPr>
          <w:rFonts w:ascii="Times New Roman" w:hAnsi="Times New Roman" w:cs="Times New Roman"/>
          <w:sz w:val="24"/>
          <w:szCs w:val="24"/>
        </w:rPr>
        <w:t xml:space="preserve"> Sob</w:t>
      </w:r>
      <w:r w:rsidR="00415183">
        <w:rPr>
          <w:rFonts w:ascii="Times New Roman" w:hAnsi="Times New Roman" w:cs="Times New Roman"/>
          <w:sz w:val="24"/>
          <w:szCs w:val="24"/>
        </w:rPr>
        <w:t>re</w:t>
      </w:r>
      <w:r w:rsidR="00800B55">
        <w:rPr>
          <w:rFonts w:ascii="Times New Roman" w:hAnsi="Times New Roman" w:cs="Times New Roman"/>
          <w:sz w:val="24"/>
          <w:szCs w:val="24"/>
        </w:rPr>
        <w:t xml:space="preserve"> este aspecto, a </w:t>
      </w:r>
      <w:proofErr w:type="spellStart"/>
      <w:r w:rsidR="00800B55">
        <w:rPr>
          <w:rFonts w:ascii="Times New Roman" w:hAnsi="Times New Roman" w:cs="Times New Roman"/>
          <w:sz w:val="24"/>
          <w:szCs w:val="24"/>
        </w:rPr>
        <w:t>canola</w:t>
      </w:r>
      <w:proofErr w:type="spellEnd"/>
      <w:r w:rsidR="00800B55">
        <w:rPr>
          <w:rFonts w:ascii="Times New Roman" w:hAnsi="Times New Roman" w:cs="Times New Roman"/>
          <w:sz w:val="24"/>
          <w:szCs w:val="24"/>
        </w:rPr>
        <w:t xml:space="preserve"> </w:t>
      </w:r>
      <w:r w:rsidR="00D71C9D">
        <w:rPr>
          <w:rFonts w:ascii="Times New Roman" w:hAnsi="Times New Roman" w:cs="Times New Roman"/>
          <w:sz w:val="24"/>
          <w:szCs w:val="24"/>
        </w:rPr>
        <w:t xml:space="preserve">credencia-se como cultura </w:t>
      </w:r>
      <w:r w:rsidR="00800B55">
        <w:rPr>
          <w:rFonts w:ascii="Times New Roman" w:hAnsi="Times New Roman" w:cs="Times New Roman"/>
          <w:sz w:val="24"/>
          <w:szCs w:val="24"/>
        </w:rPr>
        <w:t>de inverno (portanto</w:t>
      </w:r>
      <w:r w:rsidR="00A20DFA">
        <w:rPr>
          <w:rFonts w:ascii="Times New Roman" w:hAnsi="Times New Roman" w:cs="Times New Roman"/>
          <w:sz w:val="24"/>
          <w:szCs w:val="24"/>
        </w:rPr>
        <w:t>,</w:t>
      </w:r>
      <w:r w:rsidR="00800B55">
        <w:rPr>
          <w:rFonts w:ascii="Times New Roman" w:hAnsi="Times New Roman" w:cs="Times New Roman"/>
          <w:sz w:val="24"/>
          <w:szCs w:val="24"/>
        </w:rPr>
        <w:t xml:space="preserve"> não concorre</w:t>
      </w:r>
      <w:r w:rsidR="00D71C9D">
        <w:rPr>
          <w:rFonts w:ascii="Times New Roman" w:hAnsi="Times New Roman" w:cs="Times New Roman"/>
          <w:sz w:val="24"/>
          <w:szCs w:val="24"/>
        </w:rPr>
        <w:t>nte da soja), com alto</w:t>
      </w:r>
      <w:r w:rsidR="00800B55">
        <w:rPr>
          <w:rFonts w:ascii="Times New Roman" w:hAnsi="Times New Roman" w:cs="Times New Roman"/>
          <w:sz w:val="24"/>
          <w:szCs w:val="24"/>
        </w:rPr>
        <w:t xml:space="preserve"> teor de óleo </w:t>
      </w:r>
      <w:r w:rsidR="00981434">
        <w:rPr>
          <w:rFonts w:ascii="Times New Roman" w:hAnsi="Times New Roman" w:cs="Times New Roman"/>
          <w:sz w:val="24"/>
          <w:szCs w:val="24"/>
        </w:rPr>
        <w:t>(38% contra 18-19% da soja),</w:t>
      </w:r>
      <w:r w:rsidR="00800B55">
        <w:rPr>
          <w:rFonts w:ascii="Times New Roman" w:hAnsi="Times New Roman" w:cs="Times New Roman"/>
          <w:sz w:val="24"/>
          <w:szCs w:val="24"/>
        </w:rPr>
        <w:t xml:space="preserve"> cuja utilização </w:t>
      </w:r>
      <w:r w:rsidR="006000CA">
        <w:rPr>
          <w:rFonts w:ascii="Times New Roman" w:hAnsi="Times New Roman" w:cs="Times New Roman"/>
          <w:sz w:val="24"/>
          <w:szCs w:val="24"/>
        </w:rPr>
        <w:t xml:space="preserve">em larga escala </w:t>
      </w:r>
      <w:r w:rsidR="00800B55">
        <w:rPr>
          <w:rFonts w:ascii="Times New Roman" w:hAnsi="Times New Roman" w:cs="Times New Roman"/>
          <w:sz w:val="24"/>
          <w:szCs w:val="24"/>
        </w:rPr>
        <w:t xml:space="preserve">para produção de biodiesel </w:t>
      </w:r>
      <w:r w:rsidR="00A20DFA">
        <w:rPr>
          <w:rFonts w:ascii="Times New Roman" w:hAnsi="Times New Roman" w:cs="Times New Roman"/>
          <w:sz w:val="24"/>
          <w:szCs w:val="24"/>
        </w:rPr>
        <w:t>já</w:t>
      </w:r>
      <w:r w:rsidR="002F0C55">
        <w:rPr>
          <w:rFonts w:ascii="Times New Roman" w:hAnsi="Times New Roman" w:cs="Times New Roman"/>
          <w:sz w:val="24"/>
          <w:szCs w:val="24"/>
        </w:rPr>
        <w:t xml:space="preserve"> se mostrou</w:t>
      </w:r>
      <w:r w:rsidR="00800B55">
        <w:rPr>
          <w:rFonts w:ascii="Times New Roman" w:hAnsi="Times New Roman" w:cs="Times New Roman"/>
          <w:sz w:val="24"/>
          <w:szCs w:val="24"/>
        </w:rPr>
        <w:t xml:space="preserve"> viável</w:t>
      </w:r>
      <w:r w:rsidR="006D2AF4">
        <w:rPr>
          <w:rFonts w:ascii="Times New Roman" w:hAnsi="Times New Roman" w:cs="Times New Roman"/>
          <w:sz w:val="24"/>
          <w:szCs w:val="24"/>
        </w:rPr>
        <w:t xml:space="preserve"> (é matéria prima de aproximadamente 64% do biodiesel produzido </w:t>
      </w:r>
      <w:r w:rsidR="006D2AF4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6000CA">
        <w:rPr>
          <w:rFonts w:ascii="Times New Roman" w:hAnsi="Times New Roman" w:cs="Times New Roman"/>
          <w:sz w:val="24"/>
          <w:szCs w:val="24"/>
        </w:rPr>
        <w:t>União Européia</w:t>
      </w:r>
      <w:r w:rsidR="006000CA">
        <w:rPr>
          <w:rStyle w:val="Refdenotaderodap"/>
          <w:rFonts w:ascii="Times New Roman" w:hAnsi="Times New Roman" w:cs="Times New Roman"/>
          <w:sz w:val="24"/>
          <w:szCs w:val="24"/>
        </w:rPr>
        <w:footnoteReference w:id="12"/>
      </w:r>
      <w:r w:rsidR="006D2AF4">
        <w:rPr>
          <w:rFonts w:ascii="Times New Roman" w:hAnsi="Times New Roman" w:cs="Times New Roman"/>
          <w:sz w:val="24"/>
          <w:szCs w:val="24"/>
        </w:rPr>
        <w:t>)</w:t>
      </w:r>
      <w:r w:rsidR="00800B55">
        <w:rPr>
          <w:rFonts w:ascii="Times New Roman" w:hAnsi="Times New Roman" w:cs="Times New Roman"/>
          <w:sz w:val="24"/>
          <w:szCs w:val="24"/>
        </w:rPr>
        <w:t xml:space="preserve">. </w:t>
      </w:r>
      <w:r w:rsidR="00981434">
        <w:rPr>
          <w:rFonts w:ascii="Times New Roman" w:hAnsi="Times New Roman" w:cs="Times New Roman"/>
          <w:sz w:val="24"/>
          <w:szCs w:val="24"/>
        </w:rPr>
        <w:t>Entretanto, a</w:t>
      </w:r>
      <w:r w:rsidR="00524425">
        <w:rPr>
          <w:rFonts w:ascii="Times New Roman" w:hAnsi="Times New Roman" w:cs="Times New Roman"/>
          <w:sz w:val="24"/>
          <w:szCs w:val="24"/>
        </w:rPr>
        <w:t xml:space="preserve"> produtivid</w:t>
      </w:r>
      <w:r w:rsidR="00E33459">
        <w:rPr>
          <w:rFonts w:ascii="Times New Roman" w:hAnsi="Times New Roman" w:cs="Times New Roman"/>
          <w:sz w:val="24"/>
          <w:szCs w:val="24"/>
        </w:rPr>
        <w:t>ade da cultura no Rio Grande do Sul</w:t>
      </w:r>
      <w:r w:rsidR="00524425">
        <w:rPr>
          <w:rFonts w:ascii="Times New Roman" w:hAnsi="Times New Roman" w:cs="Times New Roman"/>
          <w:sz w:val="24"/>
          <w:szCs w:val="24"/>
        </w:rPr>
        <w:t xml:space="preserve"> (1</w:t>
      </w:r>
      <w:r w:rsidR="00E33459">
        <w:rPr>
          <w:rFonts w:ascii="Times New Roman" w:hAnsi="Times New Roman" w:cs="Times New Roman"/>
          <w:sz w:val="24"/>
          <w:szCs w:val="24"/>
        </w:rPr>
        <w:t>,5 tonel</w:t>
      </w:r>
      <w:r w:rsidR="00524425">
        <w:rPr>
          <w:rFonts w:ascii="Times New Roman" w:hAnsi="Times New Roman" w:cs="Times New Roman"/>
          <w:sz w:val="24"/>
          <w:szCs w:val="24"/>
        </w:rPr>
        <w:t xml:space="preserve">adas/hectare) </w:t>
      </w:r>
      <w:r w:rsidR="00554831">
        <w:rPr>
          <w:rFonts w:ascii="Times New Roman" w:hAnsi="Times New Roman" w:cs="Times New Roman"/>
          <w:sz w:val="24"/>
          <w:szCs w:val="24"/>
        </w:rPr>
        <w:t xml:space="preserve">é </w:t>
      </w:r>
      <w:r w:rsidR="002F0C55">
        <w:rPr>
          <w:rFonts w:ascii="Times New Roman" w:hAnsi="Times New Roman" w:cs="Times New Roman"/>
          <w:sz w:val="24"/>
          <w:szCs w:val="24"/>
        </w:rPr>
        <w:t>menos da</w:t>
      </w:r>
      <w:r w:rsidR="00554831">
        <w:rPr>
          <w:rFonts w:ascii="Times New Roman" w:hAnsi="Times New Roman" w:cs="Times New Roman"/>
          <w:sz w:val="24"/>
          <w:szCs w:val="24"/>
        </w:rPr>
        <w:t xml:space="preserve"> metade daquela</w:t>
      </w:r>
      <w:r w:rsidR="00524425">
        <w:rPr>
          <w:rFonts w:ascii="Times New Roman" w:hAnsi="Times New Roman" w:cs="Times New Roman"/>
          <w:sz w:val="24"/>
          <w:szCs w:val="24"/>
        </w:rPr>
        <w:t xml:space="preserve"> observada </w:t>
      </w:r>
      <w:r w:rsidR="00E33459">
        <w:rPr>
          <w:rFonts w:ascii="Times New Roman" w:hAnsi="Times New Roman" w:cs="Times New Roman"/>
          <w:sz w:val="24"/>
          <w:szCs w:val="24"/>
        </w:rPr>
        <w:t>na União Européia</w:t>
      </w:r>
      <w:r w:rsidR="00524425">
        <w:rPr>
          <w:rFonts w:ascii="Times New Roman" w:hAnsi="Times New Roman" w:cs="Times New Roman"/>
          <w:sz w:val="24"/>
          <w:szCs w:val="24"/>
        </w:rPr>
        <w:t xml:space="preserve"> (</w:t>
      </w:r>
      <w:r w:rsidR="00E33459">
        <w:rPr>
          <w:rFonts w:ascii="Times New Roman" w:hAnsi="Times New Roman" w:cs="Times New Roman"/>
          <w:sz w:val="24"/>
          <w:szCs w:val="24"/>
        </w:rPr>
        <w:t>3,1 to</w:t>
      </w:r>
      <w:r w:rsidR="004B6512">
        <w:rPr>
          <w:rFonts w:ascii="Times New Roman" w:hAnsi="Times New Roman" w:cs="Times New Roman"/>
          <w:sz w:val="24"/>
          <w:szCs w:val="24"/>
        </w:rPr>
        <w:t>neladas/hectare)</w:t>
      </w:r>
      <w:r w:rsidR="00E33459">
        <w:rPr>
          <w:rFonts w:ascii="Times New Roman" w:hAnsi="Times New Roman" w:cs="Times New Roman"/>
          <w:sz w:val="24"/>
          <w:szCs w:val="24"/>
        </w:rPr>
        <w:t xml:space="preserve">.  </w:t>
      </w:r>
      <w:r w:rsidR="00A20DFA">
        <w:rPr>
          <w:rFonts w:ascii="Times New Roman" w:hAnsi="Times New Roman" w:cs="Times New Roman"/>
          <w:sz w:val="24"/>
          <w:szCs w:val="24"/>
        </w:rPr>
        <w:t xml:space="preserve">O </w:t>
      </w:r>
      <w:r w:rsidR="004B6512">
        <w:rPr>
          <w:rFonts w:ascii="Times New Roman" w:hAnsi="Times New Roman" w:cs="Times New Roman"/>
          <w:sz w:val="24"/>
          <w:szCs w:val="24"/>
        </w:rPr>
        <w:t xml:space="preserve">Rio Grande do Sul </w:t>
      </w:r>
      <w:r w:rsidR="00A20DFA">
        <w:rPr>
          <w:rFonts w:ascii="Times New Roman" w:hAnsi="Times New Roman" w:cs="Times New Roman"/>
          <w:sz w:val="24"/>
          <w:szCs w:val="24"/>
        </w:rPr>
        <w:t xml:space="preserve">respondeu por </w:t>
      </w:r>
      <w:proofErr w:type="gramStart"/>
      <w:r w:rsidR="00A20DFA">
        <w:rPr>
          <w:rFonts w:ascii="Times New Roman" w:hAnsi="Times New Roman" w:cs="Times New Roman"/>
          <w:sz w:val="24"/>
          <w:szCs w:val="24"/>
        </w:rPr>
        <w:t>cerca de 65</w:t>
      </w:r>
      <w:proofErr w:type="gramEnd"/>
      <w:r w:rsidR="00A20DFA">
        <w:rPr>
          <w:rFonts w:ascii="Times New Roman" w:hAnsi="Times New Roman" w:cs="Times New Roman"/>
          <w:sz w:val="24"/>
          <w:szCs w:val="24"/>
        </w:rPr>
        <w:t>% da produção brasileira de</w:t>
      </w:r>
      <w:r w:rsidR="00E33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459">
        <w:rPr>
          <w:rFonts w:ascii="Times New Roman" w:hAnsi="Times New Roman" w:cs="Times New Roman"/>
          <w:sz w:val="24"/>
          <w:szCs w:val="24"/>
        </w:rPr>
        <w:t>canola</w:t>
      </w:r>
      <w:proofErr w:type="spellEnd"/>
      <w:r w:rsidR="00A20DFA">
        <w:rPr>
          <w:rFonts w:ascii="Times New Roman" w:hAnsi="Times New Roman" w:cs="Times New Roman"/>
          <w:sz w:val="24"/>
          <w:szCs w:val="24"/>
        </w:rPr>
        <w:t xml:space="preserve"> na safra 2010/2011, porém a área cultivada </w:t>
      </w:r>
      <w:r w:rsidR="00E33459">
        <w:rPr>
          <w:rFonts w:ascii="Times New Roman" w:hAnsi="Times New Roman" w:cs="Times New Roman"/>
          <w:sz w:val="24"/>
          <w:szCs w:val="24"/>
        </w:rPr>
        <w:t xml:space="preserve">ainda é </w:t>
      </w:r>
      <w:r w:rsidR="00A20DFA">
        <w:rPr>
          <w:rFonts w:ascii="Times New Roman" w:hAnsi="Times New Roman" w:cs="Times New Roman"/>
          <w:sz w:val="24"/>
          <w:szCs w:val="24"/>
        </w:rPr>
        <w:t>insignificante</w:t>
      </w:r>
      <w:r w:rsidR="00E33459">
        <w:rPr>
          <w:rFonts w:ascii="Times New Roman" w:hAnsi="Times New Roman" w:cs="Times New Roman"/>
          <w:sz w:val="24"/>
          <w:szCs w:val="24"/>
        </w:rPr>
        <w:t xml:space="preserve"> (30 mil</w:t>
      </w:r>
      <w:r w:rsidR="00A20DFA">
        <w:rPr>
          <w:rFonts w:ascii="Times New Roman" w:hAnsi="Times New Roman" w:cs="Times New Roman"/>
          <w:sz w:val="24"/>
          <w:szCs w:val="24"/>
        </w:rPr>
        <w:t xml:space="preserve"> hectares na safra 2010/2011).</w:t>
      </w:r>
      <w:r w:rsidR="004B6512">
        <w:rPr>
          <w:rFonts w:ascii="Times New Roman" w:hAnsi="Times New Roman" w:cs="Times New Roman"/>
          <w:sz w:val="24"/>
          <w:szCs w:val="24"/>
        </w:rPr>
        <w:t xml:space="preserve"> Segundo Souza Júnior</w:t>
      </w:r>
      <w:r w:rsidR="004B6512">
        <w:rPr>
          <w:rStyle w:val="Refdenotaderodap"/>
          <w:rFonts w:ascii="Times New Roman" w:hAnsi="Times New Roman" w:cs="Times New Roman"/>
          <w:sz w:val="24"/>
          <w:szCs w:val="24"/>
        </w:rPr>
        <w:footnoteReference w:id="13"/>
      </w:r>
      <w:r w:rsidR="004B6512">
        <w:rPr>
          <w:rFonts w:ascii="Times New Roman" w:hAnsi="Times New Roman" w:cs="Times New Roman"/>
          <w:sz w:val="24"/>
          <w:szCs w:val="24"/>
        </w:rPr>
        <w:t xml:space="preserve"> (2011), a </w:t>
      </w:r>
      <w:proofErr w:type="spellStart"/>
      <w:r w:rsidR="004B6512">
        <w:rPr>
          <w:rFonts w:ascii="Times New Roman" w:hAnsi="Times New Roman" w:cs="Times New Roman"/>
          <w:sz w:val="24"/>
          <w:szCs w:val="24"/>
        </w:rPr>
        <w:t>canola</w:t>
      </w:r>
      <w:proofErr w:type="spellEnd"/>
      <w:r w:rsidR="004B6512">
        <w:rPr>
          <w:rFonts w:ascii="Times New Roman" w:hAnsi="Times New Roman" w:cs="Times New Roman"/>
          <w:sz w:val="24"/>
          <w:szCs w:val="24"/>
        </w:rPr>
        <w:t>, juntamente com o girassol, tem con</w:t>
      </w:r>
      <w:r w:rsidR="0037023B">
        <w:rPr>
          <w:rFonts w:ascii="Times New Roman" w:hAnsi="Times New Roman" w:cs="Times New Roman"/>
          <w:sz w:val="24"/>
          <w:szCs w:val="24"/>
        </w:rPr>
        <w:t>dições de se fortalecer como fon</w:t>
      </w:r>
      <w:r w:rsidR="004B6512">
        <w:rPr>
          <w:rFonts w:ascii="Times New Roman" w:hAnsi="Times New Roman" w:cs="Times New Roman"/>
          <w:sz w:val="24"/>
          <w:szCs w:val="24"/>
        </w:rPr>
        <w:t>te</w:t>
      </w:r>
      <w:r w:rsidR="0037023B">
        <w:rPr>
          <w:rFonts w:ascii="Times New Roman" w:hAnsi="Times New Roman" w:cs="Times New Roman"/>
          <w:sz w:val="24"/>
          <w:szCs w:val="24"/>
        </w:rPr>
        <w:t xml:space="preserve"> de</w:t>
      </w:r>
      <w:r w:rsidR="004B6512">
        <w:rPr>
          <w:rFonts w:ascii="Times New Roman" w:hAnsi="Times New Roman" w:cs="Times New Roman"/>
          <w:sz w:val="24"/>
          <w:szCs w:val="24"/>
        </w:rPr>
        <w:t xml:space="preserve"> matéria prima para o biodiesel brasileiro até</w:t>
      </w:r>
      <w:r w:rsidR="004B6512" w:rsidRPr="004B6512">
        <w:rPr>
          <w:rFonts w:ascii="Times New Roman" w:hAnsi="Times New Roman" w:cs="Times New Roman"/>
          <w:sz w:val="24"/>
          <w:szCs w:val="24"/>
        </w:rPr>
        <w:t xml:space="preserve"> 2020</w:t>
      </w:r>
      <w:r w:rsidR="004B6512">
        <w:rPr>
          <w:rFonts w:ascii="Times New Roman" w:hAnsi="Times New Roman" w:cs="Times New Roman"/>
          <w:sz w:val="24"/>
          <w:szCs w:val="24"/>
        </w:rPr>
        <w:t>.</w:t>
      </w:r>
      <w:r w:rsidR="00E33459">
        <w:rPr>
          <w:rFonts w:ascii="Times New Roman" w:hAnsi="Times New Roman" w:cs="Times New Roman"/>
          <w:sz w:val="24"/>
          <w:szCs w:val="24"/>
        </w:rPr>
        <w:t xml:space="preserve"> </w:t>
      </w:r>
      <w:r w:rsidR="004B6512">
        <w:rPr>
          <w:rFonts w:ascii="Times New Roman" w:hAnsi="Times New Roman" w:cs="Times New Roman"/>
          <w:sz w:val="24"/>
          <w:szCs w:val="24"/>
        </w:rPr>
        <w:t xml:space="preserve">Para tanto, segundo o autor, será necessário investir em pesquisa e desenvolvimento, </w:t>
      </w:r>
      <w:r w:rsidR="00554831">
        <w:rPr>
          <w:rFonts w:ascii="Times New Roman" w:hAnsi="Times New Roman" w:cs="Times New Roman"/>
          <w:sz w:val="24"/>
          <w:szCs w:val="24"/>
        </w:rPr>
        <w:t xml:space="preserve">em </w:t>
      </w:r>
      <w:r w:rsidR="004B6512">
        <w:rPr>
          <w:rFonts w:ascii="Times New Roman" w:hAnsi="Times New Roman" w:cs="Times New Roman"/>
          <w:sz w:val="24"/>
          <w:szCs w:val="24"/>
        </w:rPr>
        <w:t>extensão agrícola</w:t>
      </w:r>
      <w:r w:rsidR="0025064D">
        <w:rPr>
          <w:rFonts w:ascii="Times New Roman" w:hAnsi="Times New Roman" w:cs="Times New Roman"/>
          <w:sz w:val="24"/>
          <w:szCs w:val="24"/>
        </w:rPr>
        <w:t xml:space="preserve"> </w:t>
      </w:r>
      <w:r w:rsidR="00554831">
        <w:rPr>
          <w:rFonts w:ascii="Times New Roman" w:hAnsi="Times New Roman" w:cs="Times New Roman"/>
          <w:sz w:val="24"/>
          <w:szCs w:val="24"/>
        </w:rPr>
        <w:t xml:space="preserve">e </w:t>
      </w:r>
      <w:r w:rsidR="0025064D">
        <w:rPr>
          <w:rFonts w:ascii="Times New Roman" w:hAnsi="Times New Roman" w:cs="Times New Roman"/>
          <w:sz w:val="24"/>
          <w:szCs w:val="24"/>
        </w:rPr>
        <w:t>na construção da</w:t>
      </w:r>
      <w:r w:rsidR="004B6512">
        <w:rPr>
          <w:rFonts w:ascii="Times New Roman" w:hAnsi="Times New Roman" w:cs="Times New Roman"/>
          <w:sz w:val="24"/>
          <w:szCs w:val="24"/>
        </w:rPr>
        <w:t xml:space="preserve"> logística</w:t>
      </w:r>
      <w:r w:rsidR="0025064D">
        <w:rPr>
          <w:rFonts w:ascii="Times New Roman" w:hAnsi="Times New Roman" w:cs="Times New Roman"/>
          <w:sz w:val="24"/>
          <w:szCs w:val="24"/>
        </w:rPr>
        <w:t xml:space="preserve"> para esses produtos</w:t>
      </w:r>
      <w:r w:rsidR="004B6512">
        <w:rPr>
          <w:rFonts w:ascii="Times New Roman" w:hAnsi="Times New Roman" w:cs="Times New Roman"/>
          <w:sz w:val="24"/>
          <w:szCs w:val="24"/>
        </w:rPr>
        <w:t>.</w:t>
      </w:r>
      <w:r w:rsidR="00E33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DFA" w:rsidRDefault="002F0C55" w:rsidP="00124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v</w:t>
      </w:r>
      <w:r w:rsidR="007E444A">
        <w:rPr>
          <w:rFonts w:ascii="Times New Roman" w:hAnsi="Times New Roman" w:cs="Times New Roman"/>
          <w:sz w:val="24"/>
          <w:szCs w:val="24"/>
        </w:rPr>
        <w:t xml:space="preserve">ale frisar que o processo de construção do novo marco regulatório do biodiesel conta com a participação das associações que representam as empresas que comercializam </w:t>
      </w:r>
      <w:r>
        <w:rPr>
          <w:rFonts w:ascii="Times New Roman" w:hAnsi="Times New Roman" w:cs="Times New Roman"/>
          <w:sz w:val="24"/>
          <w:szCs w:val="24"/>
        </w:rPr>
        <w:t>e distribuem o diesel. Esses grupos</w:t>
      </w:r>
      <w:r w:rsidR="007E4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têm </w:t>
      </w:r>
      <w:r w:rsidR="007E444A">
        <w:rPr>
          <w:rFonts w:ascii="Times New Roman" w:hAnsi="Times New Roman" w:cs="Times New Roman"/>
          <w:sz w:val="24"/>
          <w:szCs w:val="24"/>
        </w:rPr>
        <w:t>relatado dificuldades de natureza técnica e de qualidade para a expansão da mistura</w:t>
      </w:r>
      <w:r w:rsidR="00981434">
        <w:rPr>
          <w:rStyle w:val="Refdenotaderodap"/>
          <w:rFonts w:ascii="Times New Roman" w:hAnsi="Times New Roman" w:cs="Times New Roman"/>
          <w:sz w:val="24"/>
          <w:szCs w:val="24"/>
        </w:rPr>
        <w:footnoteReference w:id="14"/>
      </w:r>
      <w:r w:rsidR="007E444A">
        <w:rPr>
          <w:rFonts w:ascii="Times New Roman" w:hAnsi="Times New Roman" w:cs="Times New Roman"/>
          <w:sz w:val="24"/>
          <w:szCs w:val="24"/>
        </w:rPr>
        <w:t>. Outro aspecto a ser considerado é a relação de preços entre o biodiesel e o diesel, visto que</w:t>
      </w:r>
      <w:r>
        <w:rPr>
          <w:rFonts w:ascii="Times New Roman" w:hAnsi="Times New Roman" w:cs="Times New Roman"/>
          <w:sz w:val="24"/>
          <w:szCs w:val="24"/>
        </w:rPr>
        <w:t xml:space="preserve"> mantido o cenário de alta dos preços das </w:t>
      </w:r>
      <w:r w:rsidRPr="002F0C55">
        <w:rPr>
          <w:rFonts w:ascii="Times New Roman" w:hAnsi="Times New Roman" w:cs="Times New Roman"/>
          <w:i/>
          <w:sz w:val="24"/>
          <w:szCs w:val="24"/>
        </w:rPr>
        <w:t>commodities</w:t>
      </w:r>
      <w:r>
        <w:rPr>
          <w:rFonts w:ascii="Times New Roman" w:hAnsi="Times New Roman" w:cs="Times New Roman"/>
          <w:sz w:val="24"/>
          <w:szCs w:val="24"/>
        </w:rPr>
        <w:t xml:space="preserve"> agrícolas</w:t>
      </w:r>
      <w:r w:rsidR="008137EC">
        <w:rPr>
          <w:rFonts w:ascii="Times New Roman" w:hAnsi="Times New Roman" w:cs="Times New Roman"/>
          <w:sz w:val="24"/>
          <w:szCs w:val="24"/>
        </w:rPr>
        <w:t xml:space="preserve"> o aumento da mistura tende</w:t>
      </w:r>
      <w:r w:rsidR="007E444A">
        <w:rPr>
          <w:rFonts w:ascii="Times New Roman" w:hAnsi="Times New Roman" w:cs="Times New Roman"/>
          <w:sz w:val="24"/>
          <w:szCs w:val="24"/>
        </w:rPr>
        <w:t xml:space="preserve"> a encarecer o custo de produção de um dos principais insumos produtivos do país</w:t>
      </w:r>
      <w:r w:rsidR="008137EC">
        <w:rPr>
          <w:rStyle w:val="Refdenotaderodap"/>
          <w:rFonts w:ascii="Times New Roman" w:hAnsi="Times New Roman" w:cs="Times New Roman"/>
          <w:sz w:val="24"/>
          <w:szCs w:val="24"/>
        </w:rPr>
        <w:footnoteReference w:id="15"/>
      </w:r>
      <w:r w:rsidR="007E444A">
        <w:rPr>
          <w:rFonts w:ascii="Times New Roman" w:hAnsi="Times New Roman" w:cs="Times New Roman"/>
          <w:sz w:val="24"/>
          <w:szCs w:val="24"/>
        </w:rPr>
        <w:t>.</w:t>
      </w:r>
      <w:r w:rsidR="008E3370">
        <w:rPr>
          <w:rFonts w:ascii="Times New Roman" w:hAnsi="Times New Roman" w:cs="Times New Roman"/>
          <w:sz w:val="24"/>
          <w:szCs w:val="24"/>
        </w:rPr>
        <w:t xml:space="preserve"> Neste sentido, os impactos </w:t>
      </w:r>
      <w:r w:rsidR="001A2928">
        <w:rPr>
          <w:rFonts w:ascii="Times New Roman" w:hAnsi="Times New Roman" w:cs="Times New Roman"/>
          <w:sz w:val="24"/>
          <w:szCs w:val="24"/>
        </w:rPr>
        <w:t xml:space="preserve">econômicos e sociais (inflação e perda de </w:t>
      </w:r>
      <w:r w:rsidR="008E3370">
        <w:rPr>
          <w:rFonts w:ascii="Times New Roman" w:hAnsi="Times New Roman" w:cs="Times New Roman"/>
          <w:sz w:val="24"/>
          <w:szCs w:val="24"/>
        </w:rPr>
        <w:t xml:space="preserve">competitividade) </w:t>
      </w:r>
      <w:r w:rsidR="003B3A83">
        <w:rPr>
          <w:rFonts w:ascii="Times New Roman" w:hAnsi="Times New Roman" w:cs="Times New Roman"/>
          <w:sz w:val="24"/>
          <w:szCs w:val="24"/>
        </w:rPr>
        <w:t xml:space="preserve">decorrentes </w:t>
      </w:r>
      <w:r w:rsidR="008E3370">
        <w:rPr>
          <w:rFonts w:ascii="Times New Roman" w:hAnsi="Times New Roman" w:cs="Times New Roman"/>
          <w:sz w:val="24"/>
          <w:szCs w:val="24"/>
        </w:rPr>
        <w:t xml:space="preserve">da reforma do marco regulatório do biodiesel também precisam ser avaliados. </w:t>
      </w:r>
      <w:r w:rsidR="007E4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DFA" w:rsidRDefault="00A20DFA" w:rsidP="001B4F9B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6675" w:rsidRPr="00AF7A90" w:rsidRDefault="00B83B77" w:rsidP="00EB38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A90">
        <w:rPr>
          <w:rFonts w:ascii="Times New Roman" w:hAnsi="Times New Roman" w:cs="Times New Roman"/>
          <w:b/>
          <w:sz w:val="24"/>
          <w:szCs w:val="24"/>
        </w:rPr>
        <w:t>Con</w:t>
      </w:r>
      <w:r w:rsidR="00947FD6">
        <w:rPr>
          <w:rFonts w:ascii="Times New Roman" w:hAnsi="Times New Roman" w:cs="Times New Roman"/>
          <w:b/>
          <w:sz w:val="24"/>
          <w:szCs w:val="24"/>
        </w:rPr>
        <w:t>clusões</w:t>
      </w:r>
    </w:p>
    <w:p w:rsidR="0037057A" w:rsidRDefault="002C3A78" w:rsidP="000169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análise realizada nesse trabalho </w:t>
      </w:r>
      <w:r w:rsidR="00A02097">
        <w:rPr>
          <w:rFonts w:ascii="Times New Roman" w:hAnsi="Times New Roman" w:cs="Times New Roman"/>
          <w:sz w:val="24"/>
          <w:szCs w:val="24"/>
        </w:rPr>
        <w:t>abordou</w:t>
      </w:r>
      <w:r>
        <w:rPr>
          <w:rFonts w:ascii="Times New Roman" w:hAnsi="Times New Roman" w:cs="Times New Roman"/>
          <w:sz w:val="24"/>
          <w:szCs w:val="24"/>
        </w:rPr>
        <w:t xml:space="preserve"> os principais limites e oportunidades da produção de biodiesel no Brasil e no Rio Grande do Sul.</w:t>
      </w:r>
      <w:r w:rsidR="00C1682C">
        <w:rPr>
          <w:rFonts w:ascii="Times New Roman" w:hAnsi="Times New Roman" w:cs="Times New Roman"/>
          <w:sz w:val="24"/>
          <w:szCs w:val="24"/>
        </w:rPr>
        <w:t xml:space="preserve"> </w:t>
      </w:r>
      <w:r w:rsidR="00EF549D">
        <w:rPr>
          <w:rFonts w:ascii="Times New Roman" w:hAnsi="Times New Roman" w:cs="Times New Roman"/>
          <w:sz w:val="24"/>
          <w:szCs w:val="24"/>
        </w:rPr>
        <w:t>Ficou evidenciado</w:t>
      </w:r>
      <w:r w:rsidR="0037057A">
        <w:rPr>
          <w:rFonts w:ascii="Times New Roman" w:hAnsi="Times New Roman" w:cs="Times New Roman"/>
          <w:sz w:val="24"/>
          <w:szCs w:val="24"/>
        </w:rPr>
        <w:t xml:space="preserve"> que o desempenho futuro da indústria </w:t>
      </w:r>
      <w:r w:rsidR="009E207D">
        <w:rPr>
          <w:rFonts w:ascii="Times New Roman" w:hAnsi="Times New Roman" w:cs="Times New Roman"/>
          <w:sz w:val="24"/>
          <w:szCs w:val="24"/>
        </w:rPr>
        <w:t xml:space="preserve">gaúcha </w:t>
      </w:r>
      <w:r w:rsidR="0037023B">
        <w:rPr>
          <w:rFonts w:ascii="Times New Roman" w:hAnsi="Times New Roman" w:cs="Times New Roman"/>
          <w:sz w:val="24"/>
          <w:szCs w:val="24"/>
        </w:rPr>
        <w:t xml:space="preserve">de biodiesel </w:t>
      </w:r>
      <w:r w:rsidR="0037057A">
        <w:rPr>
          <w:rFonts w:ascii="Times New Roman" w:hAnsi="Times New Roman" w:cs="Times New Roman"/>
          <w:sz w:val="24"/>
          <w:szCs w:val="24"/>
        </w:rPr>
        <w:t xml:space="preserve">está condicionado à revisão do marco regulatório do setor, sobretudo no que se refere à mistura mandatória do biodiesel no óleo diesel. </w:t>
      </w:r>
    </w:p>
    <w:p w:rsidR="0001694C" w:rsidRPr="00AF7A90" w:rsidRDefault="00E51045" w:rsidP="003705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crescimento</w:t>
      </w:r>
      <w:r w:rsidR="00C1682C">
        <w:rPr>
          <w:rFonts w:ascii="Times New Roman" w:hAnsi="Times New Roman" w:cs="Times New Roman"/>
          <w:sz w:val="24"/>
          <w:szCs w:val="24"/>
        </w:rPr>
        <w:t xml:space="preserve"> da demanda por farelos protéicos e proteína vegetal são fatores que tendem a contribuir para a expansão da oferta de óleos vegetais para a produção do </w:t>
      </w:r>
      <w:r w:rsidR="00C1682C">
        <w:rPr>
          <w:rFonts w:ascii="Times New Roman" w:hAnsi="Times New Roman" w:cs="Times New Roman"/>
          <w:sz w:val="24"/>
          <w:szCs w:val="24"/>
        </w:rPr>
        <w:lastRenderedPageBreak/>
        <w:t xml:space="preserve">biocombustível. Contudo, o aumento da disponibilidade interna de óleo de soja para este fim </w:t>
      </w:r>
      <w:r w:rsidR="0037057A">
        <w:rPr>
          <w:rFonts w:ascii="Times New Roman" w:hAnsi="Times New Roman" w:cs="Times New Roman"/>
          <w:sz w:val="24"/>
          <w:szCs w:val="24"/>
        </w:rPr>
        <w:t>depende da</w:t>
      </w:r>
      <w:r w:rsidR="007512FE">
        <w:rPr>
          <w:rFonts w:ascii="Times New Roman" w:hAnsi="Times New Roman" w:cs="Times New Roman"/>
          <w:sz w:val="24"/>
          <w:szCs w:val="24"/>
        </w:rPr>
        <w:t xml:space="preserve"> correção dos desequilíbrios tributários</w:t>
      </w:r>
      <w:r w:rsidR="00C1682C">
        <w:rPr>
          <w:rFonts w:ascii="Times New Roman" w:hAnsi="Times New Roman" w:cs="Times New Roman"/>
          <w:sz w:val="24"/>
          <w:szCs w:val="24"/>
        </w:rPr>
        <w:t xml:space="preserve"> </w:t>
      </w:r>
      <w:r w:rsidR="0001694C">
        <w:rPr>
          <w:rFonts w:ascii="Times New Roman" w:hAnsi="Times New Roman" w:cs="Times New Roman"/>
          <w:sz w:val="24"/>
          <w:szCs w:val="24"/>
        </w:rPr>
        <w:t>internos e tarifários externos</w:t>
      </w:r>
      <w:r>
        <w:rPr>
          <w:rFonts w:ascii="Times New Roman" w:hAnsi="Times New Roman" w:cs="Times New Roman"/>
          <w:sz w:val="24"/>
          <w:szCs w:val="24"/>
        </w:rPr>
        <w:t xml:space="preserve"> que limitam o processamento</w:t>
      </w:r>
      <w:r w:rsidR="0037057A">
        <w:rPr>
          <w:rFonts w:ascii="Times New Roman" w:hAnsi="Times New Roman" w:cs="Times New Roman"/>
          <w:sz w:val="24"/>
          <w:szCs w:val="24"/>
        </w:rPr>
        <w:t xml:space="preserve"> da matéria prima no Brasil</w:t>
      </w:r>
      <w:r w:rsidR="007512FE">
        <w:rPr>
          <w:rFonts w:ascii="Times New Roman" w:hAnsi="Times New Roman" w:cs="Times New Roman"/>
          <w:sz w:val="24"/>
          <w:szCs w:val="24"/>
        </w:rPr>
        <w:t>.</w:t>
      </w:r>
      <w:r w:rsidR="0001694C">
        <w:rPr>
          <w:rFonts w:ascii="Times New Roman" w:hAnsi="Times New Roman" w:cs="Times New Roman"/>
          <w:sz w:val="24"/>
          <w:szCs w:val="24"/>
        </w:rPr>
        <w:t xml:space="preserve"> </w:t>
      </w:r>
      <w:r w:rsidR="00696EEF">
        <w:rPr>
          <w:rFonts w:ascii="Times New Roman" w:hAnsi="Times New Roman" w:cs="Times New Roman"/>
          <w:sz w:val="24"/>
          <w:szCs w:val="24"/>
        </w:rPr>
        <w:t>A esse respeito</w:t>
      </w:r>
      <w:r w:rsidR="003705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1694C">
        <w:rPr>
          <w:rFonts w:ascii="Times New Roman" w:hAnsi="Times New Roman" w:cs="Times New Roman"/>
          <w:sz w:val="24"/>
          <w:szCs w:val="24"/>
        </w:rPr>
        <w:t>ossivelmente a forma</w:t>
      </w:r>
      <w:r w:rsidR="0001694C" w:rsidRPr="00AF7A90">
        <w:rPr>
          <w:rFonts w:ascii="Times New Roman" w:hAnsi="Times New Roman" w:cs="Times New Roman"/>
          <w:sz w:val="24"/>
          <w:szCs w:val="24"/>
        </w:rPr>
        <w:t xml:space="preserve"> mais eficiente de </w:t>
      </w:r>
      <w:r w:rsidR="0037057A">
        <w:rPr>
          <w:rFonts w:ascii="Times New Roman" w:hAnsi="Times New Roman" w:cs="Times New Roman"/>
          <w:sz w:val="24"/>
          <w:szCs w:val="24"/>
        </w:rPr>
        <w:t>garantir a sustentabilidade do crescimento d</w:t>
      </w:r>
      <w:r w:rsidR="0001694C" w:rsidRPr="00AF7A90">
        <w:rPr>
          <w:rFonts w:ascii="Times New Roman" w:hAnsi="Times New Roman" w:cs="Times New Roman"/>
          <w:sz w:val="24"/>
          <w:szCs w:val="24"/>
        </w:rPr>
        <w:t xml:space="preserve">a produção </w:t>
      </w:r>
      <w:r w:rsidR="0001694C">
        <w:rPr>
          <w:rFonts w:ascii="Times New Roman" w:hAnsi="Times New Roman" w:cs="Times New Roman"/>
          <w:sz w:val="24"/>
          <w:szCs w:val="24"/>
        </w:rPr>
        <w:t xml:space="preserve">de biodiesel de soja no Brasil seja </w:t>
      </w:r>
      <w:r w:rsidR="00696EEF">
        <w:rPr>
          <w:rFonts w:ascii="Times New Roman" w:hAnsi="Times New Roman" w:cs="Times New Roman"/>
          <w:sz w:val="24"/>
          <w:szCs w:val="24"/>
        </w:rPr>
        <w:t>promover a</w:t>
      </w:r>
      <w:r w:rsidR="0001694C">
        <w:rPr>
          <w:rFonts w:ascii="Times New Roman" w:hAnsi="Times New Roman" w:cs="Times New Roman"/>
          <w:sz w:val="24"/>
          <w:szCs w:val="24"/>
        </w:rPr>
        <w:t xml:space="preserve"> </w:t>
      </w:r>
      <w:r w:rsidR="0001694C" w:rsidRPr="00AF7A90">
        <w:rPr>
          <w:rFonts w:ascii="Times New Roman" w:hAnsi="Times New Roman" w:cs="Times New Roman"/>
          <w:sz w:val="24"/>
          <w:szCs w:val="24"/>
        </w:rPr>
        <w:t xml:space="preserve">abertura do mercado </w:t>
      </w:r>
      <w:r w:rsidR="0001694C">
        <w:rPr>
          <w:rFonts w:ascii="Times New Roman" w:hAnsi="Times New Roman" w:cs="Times New Roman"/>
          <w:sz w:val="24"/>
          <w:szCs w:val="24"/>
        </w:rPr>
        <w:t xml:space="preserve">chinês </w:t>
      </w:r>
      <w:r w:rsidR="0037057A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37057A">
        <w:rPr>
          <w:rFonts w:ascii="Times New Roman" w:hAnsi="Times New Roman" w:cs="Times New Roman"/>
          <w:sz w:val="24"/>
          <w:szCs w:val="24"/>
        </w:rPr>
        <w:t>as</w:t>
      </w:r>
      <w:r w:rsidR="0001694C" w:rsidRPr="00AF7A90">
        <w:rPr>
          <w:rFonts w:ascii="Times New Roman" w:hAnsi="Times New Roman" w:cs="Times New Roman"/>
          <w:sz w:val="24"/>
          <w:szCs w:val="24"/>
        </w:rPr>
        <w:t xml:space="preserve"> carnes</w:t>
      </w:r>
      <w:r w:rsidR="0001694C">
        <w:rPr>
          <w:rFonts w:ascii="Times New Roman" w:hAnsi="Times New Roman" w:cs="Times New Roman"/>
          <w:sz w:val="24"/>
          <w:szCs w:val="24"/>
        </w:rPr>
        <w:t xml:space="preserve"> suína</w:t>
      </w:r>
      <w:proofErr w:type="gramEnd"/>
      <w:r w:rsidR="0001694C">
        <w:rPr>
          <w:rFonts w:ascii="Times New Roman" w:hAnsi="Times New Roman" w:cs="Times New Roman"/>
          <w:sz w:val="24"/>
          <w:szCs w:val="24"/>
        </w:rPr>
        <w:t xml:space="preserve"> e de frango.</w:t>
      </w:r>
      <w:r w:rsidR="0001694C" w:rsidRPr="00AF7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045" w:rsidRDefault="00C122E5" w:rsidP="00C16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projeções indicaram </w:t>
      </w:r>
      <w:r w:rsidR="0060652F">
        <w:rPr>
          <w:rFonts w:ascii="Times New Roman" w:hAnsi="Times New Roman" w:cs="Times New Roman"/>
          <w:sz w:val="24"/>
          <w:szCs w:val="24"/>
        </w:rPr>
        <w:t xml:space="preserve">que </w:t>
      </w:r>
      <w:proofErr w:type="gramStart"/>
      <w:r w:rsidR="0060652F">
        <w:rPr>
          <w:rFonts w:ascii="Times New Roman" w:hAnsi="Times New Roman" w:cs="Times New Roman"/>
          <w:sz w:val="24"/>
          <w:szCs w:val="24"/>
        </w:rPr>
        <w:t>a</w:t>
      </w:r>
      <w:r w:rsidR="00B4211D">
        <w:rPr>
          <w:rFonts w:ascii="Times New Roman" w:hAnsi="Times New Roman" w:cs="Times New Roman"/>
          <w:sz w:val="24"/>
          <w:szCs w:val="24"/>
        </w:rPr>
        <w:t>s</w:t>
      </w:r>
      <w:r w:rsidR="0060652F">
        <w:rPr>
          <w:rFonts w:ascii="Times New Roman" w:hAnsi="Times New Roman" w:cs="Times New Roman"/>
          <w:sz w:val="24"/>
          <w:szCs w:val="24"/>
        </w:rPr>
        <w:t xml:space="preserve"> indústria</w:t>
      </w:r>
      <w:r w:rsidR="00B4211D">
        <w:rPr>
          <w:rFonts w:ascii="Times New Roman" w:hAnsi="Times New Roman" w:cs="Times New Roman"/>
          <w:sz w:val="24"/>
          <w:szCs w:val="24"/>
        </w:rPr>
        <w:t>s</w:t>
      </w:r>
      <w:r w:rsidR="0060652F">
        <w:rPr>
          <w:rFonts w:ascii="Times New Roman" w:hAnsi="Times New Roman" w:cs="Times New Roman"/>
          <w:sz w:val="24"/>
          <w:szCs w:val="24"/>
        </w:rPr>
        <w:t xml:space="preserve"> bra</w:t>
      </w:r>
      <w:r w:rsidR="00B4211D">
        <w:rPr>
          <w:rFonts w:ascii="Times New Roman" w:hAnsi="Times New Roman" w:cs="Times New Roman"/>
          <w:sz w:val="24"/>
          <w:szCs w:val="24"/>
        </w:rPr>
        <w:t>sileira e gaúcha de biodiesel</w:t>
      </w:r>
      <w:proofErr w:type="gramEnd"/>
      <w:r w:rsidR="00B4211D">
        <w:rPr>
          <w:rFonts w:ascii="Times New Roman" w:hAnsi="Times New Roman" w:cs="Times New Roman"/>
          <w:sz w:val="24"/>
          <w:szCs w:val="24"/>
        </w:rPr>
        <w:t xml:space="preserve"> tê</w:t>
      </w:r>
      <w:r w:rsidR="00D3692C">
        <w:rPr>
          <w:rFonts w:ascii="Times New Roman" w:hAnsi="Times New Roman" w:cs="Times New Roman"/>
          <w:sz w:val="24"/>
          <w:szCs w:val="24"/>
        </w:rPr>
        <w:t>m condições de atender à</w:t>
      </w:r>
      <w:r w:rsidR="0060652F">
        <w:rPr>
          <w:rFonts w:ascii="Times New Roman" w:hAnsi="Times New Roman" w:cs="Times New Roman"/>
          <w:sz w:val="24"/>
          <w:szCs w:val="24"/>
        </w:rPr>
        <w:t xml:space="preserve"> demanda pelo biocombustível até 2020 se o percentual mandatório de mistura não for revisto. Porém, </w:t>
      </w:r>
      <w:r w:rsidR="00477EB1">
        <w:rPr>
          <w:rFonts w:ascii="Times New Roman" w:hAnsi="Times New Roman" w:cs="Times New Roman"/>
          <w:sz w:val="24"/>
          <w:szCs w:val="24"/>
        </w:rPr>
        <w:t>sob este cenário</w:t>
      </w:r>
      <w:r w:rsidR="0060652F">
        <w:rPr>
          <w:rFonts w:ascii="Times New Roman" w:hAnsi="Times New Roman" w:cs="Times New Roman"/>
          <w:sz w:val="24"/>
          <w:szCs w:val="24"/>
        </w:rPr>
        <w:t xml:space="preserve"> o setor continuaria operando com altas taxas de ociosidade</w:t>
      </w:r>
      <w:r w:rsidR="00477EB1">
        <w:rPr>
          <w:rFonts w:ascii="Times New Roman" w:hAnsi="Times New Roman" w:cs="Times New Roman"/>
          <w:sz w:val="24"/>
          <w:szCs w:val="24"/>
        </w:rPr>
        <w:t>.</w:t>
      </w:r>
      <w:r w:rsidR="00E51045">
        <w:rPr>
          <w:rFonts w:ascii="Times New Roman" w:hAnsi="Times New Roman" w:cs="Times New Roman"/>
          <w:sz w:val="24"/>
          <w:szCs w:val="24"/>
        </w:rPr>
        <w:t xml:space="preserve"> </w:t>
      </w:r>
      <w:r w:rsidR="00354431">
        <w:rPr>
          <w:rFonts w:ascii="Times New Roman" w:hAnsi="Times New Roman" w:cs="Times New Roman"/>
          <w:sz w:val="24"/>
          <w:szCs w:val="24"/>
        </w:rPr>
        <w:t xml:space="preserve">Por outro lado, se concretizado o pleito da indústria do biodiesel de aumentar a mistura para 20% até 2020, </w:t>
      </w:r>
      <w:r w:rsidR="00042AEA">
        <w:rPr>
          <w:rFonts w:ascii="Times New Roman" w:hAnsi="Times New Roman" w:cs="Times New Roman"/>
          <w:sz w:val="24"/>
          <w:szCs w:val="24"/>
        </w:rPr>
        <w:t>o País corre</w:t>
      </w:r>
      <w:r w:rsidR="00354431">
        <w:rPr>
          <w:rFonts w:ascii="Times New Roman" w:hAnsi="Times New Roman" w:cs="Times New Roman"/>
          <w:sz w:val="24"/>
          <w:szCs w:val="24"/>
        </w:rPr>
        <w:t xml:space="preserve"> o risco de se defrontar com problemas de desabastecimento de matéria prima</w:t>
      </w:r>
      <w:r w:rsidR="00336F9B">
        <w:rPr>
          <w:rFonts w:ascii="Times New Roman" w:hAnsi="Times New Roman" w:cs="Times New Roman"/>
          <w:sz w:val="24"/>
          <w:szCs w:val="24"/>
        </w:rPr>
        <w:t xml:space="preserve"> similares aos observados recentemente no setor do etanol.</w:t>
      </w:r>
      <w:r w:rsidR="00354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82C" w:rsidRDefault="00354431" w:rsidP="00C168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seja possível à indústria gaúcha preservar seu protagonismo na produção nacional</w:t>
      </w:r>
      <w:r w:rsidR="009E207D">
        <w:rPr>
          <w:rFonts w:ascii="Times New Roman" w:hAnsi="Times New Roman" w:cs="Times New Roman"/>
          <w:sz w:val="24"/>
          <w:szCs w:val="24"/>
        </w:rPr>
        <w:t xml:space="preserve"> do biocombustível</w:t>
      </w:r>
      <w:r>
        <w:rPr>
          <w:rFonts w:ascii="Times New Roman" w:hAnsi="Times New Roman" w:cs="Times New Roman"/>
          <w:sz w:val="24"/>
          <w:szCs w:val="24"/>
        </w:rPr>
        <w:t>, além de aumentar o processamento doméstico, será fundamental viabilizar a produção em larga escala de oleaginosas alternativas</w:t>
      </w:r>
      <w:r w:rsidR="00015B88">
        <w:rPr>
          <w:rFonts w:ascii="Times New Roman" w:hAnsi="Times New Roman" w:cs="Times New Roman"/>
          <w:sz w:val="24"/>
          <w:szCs w:val="24"/>
        </w:rPr>
        <w:t xml:space="preserve"> compatíveis com a agricultura familiar</w:t>
      </w:r>
      <w:r w:rsidR="0001694C">
        <w:rPr>
          <w:rFonts w:ascii="Times New Roman" w:hAnsi="Times New Roman" w:cs="Times New Roman"/>
          <w:sz w:val="24"/>
          <w:szCs w:val="24"/>
        </w:rPr>
        <w:t xml:space="preserve">. </w:t>
      </w:r>
      <w:r w:rsidR="0037057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cano</w:t>
      </w:r>
      <w:r w:rsidR="00131885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="00131885">
        <w:rPr>
          <w:rFonts w:ascii="Times New Roman" w:hAnsi="Times New Roman" w:cs="Times New Roman"/>
          <w:sz w:val="24"/>
          <w:szCs w:val="24"/>
        </w:rPr>
        <w:t xml:space="preserve"> se apresenta como cultura de</w:t>
      </w:r>
      <w:r>
        <w:rPr>
          <w:rFonts w:ascii="Times New Roman" w:hAnsi="Times New Roman" w:cs="Times New Roman"/>
          <w:sz w:val="24"/>
          <w:szCs w:val="24"/>
        </w:rPr>
        <w:t xml:space="preserve"> maior potencial de crescimento</w:t>
      </w:r>
      <w:r w:rsidR="00131885">
        <w:rPr>
          <w:rFonts w:ascii="Times New Roman" w:hAnsi="Times New Roman" w:cs="Times New Roman"/>
          <w:sz w:val="24"/>
          <w:szCs w:val="24"/>
        </w:rPr>
        <w:t xml:space="preserve"> no Rio Grande do Sul, porém carece de investimentos em pesquisa e desenvolvimento, extensão rural e logística de distribuição</w:t>
      </w:r>
      <w:r w:rsidR="009E207D">
        <w:rPr>
          <w:rFonts w:ascii="Times New Roman" w:hAnsi="Times New Roman" w:cs="Times New Roman"/>
          <w:sz w:val="24"/>
          <w:szCs w:val="24"/>
        </w:rPr>
        <w:t xml:space="preserve"> para viabilizar seu cultivo em larga escala</w:t>
      </w:r>
      <w:r w:rsidR="00131885">
        <w:rPr>
          <w:rFonts w:ascii="Times New Roman" w:hAnsi="Times New Roman" w:cs="Times New Roman"/>
          <w:sz w:val="24"/>
          <w:szCs w:val="24"/>
        </w:rPr>
        <w:t>.</w:t>
      </w:r>
    </w:p>
    <w:p w:rsidR="009B35D4" w:rsidRPr="00AF7A90" w:rsidRDefault="009B35D4" w:rsidP="009B35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995" w:rsidRPr="0009668A" w:rsidRDefault="00E15995" w:rsidP="00524F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68A">
        <w:rPr>
          <w:rFonts w:ascii="Times New Roman" w:hAnsi="Times New Roman" w:cs="Times New Roman"/>
          <w:b/>
          <w:sz w:val="24"/>
          <w:szCs w:val="24"/>
        </w:rPr>
        <w:t>R</w:t>
      </w:r>
      <w:r w:rsidR="00524F4D">
        <w:rPr>
          <w:rFonts w:ascii="Times New Roman" w:hAnsi="Times New Roman" w:cs="Times New Roman"/>
          <w:b/>
          <w:sz w:val="24"/>
          <w:szCs w:val="24"/>
        </w:rPr>
        <w:t>eferências</w:t>
      </w: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ABIOVE. </w:t>
      </w:r>
      <w:r w:rsidRPr="000C2CED">
        <w:rPr>
          <w:rFonts w:ascii="Times New Roman" w:hAnsi="Times New Roman" w:cs="Times New Roman"/>
          <w:b/>
          <w:sz w:val="24"/>
          <w:szCs w:val="24"/>
        </w:rPr>
        <w:t>Tributação na Indústria de Óleos Vegetais</w:t>
      </w:r>
      <w:r>
        <w:rPr>
          <w:rFonts w:ascii="Times New Roman" w:hAnsi="Times New Roman" w:cs="Times New Roman"/>
          <w:sz w:val="24"/>
          <w:szCs w:val="24"/>
        </w:rPr>
        <w:t xml:space="preserve">. Goiânia: Câmara Setorial da Soja, 2011. </w:t>
      </w: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ABIOVE. </w:t>
      </w:r>
      <w:r w:rsidRPr="000C2CED">
        <w:rPr>
          <w:rFonts w:ascii="Times New Roman" w:hAnsi="Times New Roman" w:cs="Times New Roman"/>
          <w:b/>
          <w:sz w:val="24"/>
          <w:szCs w:val="24"/>
        </w:rPr>
        <w:t xml:space="preserve">Balanço de Oferta e Demanda do </w:t>
      </w:r>
      <w:proofErr w:type="gramStart"/>
      <w:r w:rsidRPr="000C2CED">
        <w:rPr>
          <w:rFonts w:ascii="Times New Roman" w:hAnsi="Times New Roman" w:cs="Times New Roman"/>
          <w:b/>
          <w:sz w:val="24"/>
          <w:szCs w:val="24"/>
        </w:rPr>
        <w:t>Complexo Soja</w:t>
      </w:r>
      <w:proofErr w:type="gramEnd"/>
      <w:r>
        <w:rPr>
          <w:rFonts w:ascii="Times New Roman" w:hAnsi="Times New Roman" w:cs="Times New Roman"/>
          <w:sz w:val="24"/>
          <w:szCs w:val="24"/>
        </w:rPr>
        <w:t>. Disponível em: &lt;</w:t>
      </w:r>
      <w:hyperlink r:id="rId12" w:history="1">
        <w:r w:rsidRPr="008C619A">
          <w:rPr>
            <w:rStyle w:val="Hyperlink"/>
            <w:rFonts w:ascii="Times New Roman" w:hAnsi="Times New Roman" w:cs="Times New Roman"/>
            <w:sz w:val="24"/>
            <w:szCs w:val="24"/>
          </w:rPr>
          <w:t>http://www.abiove.com.br/balanco_br.html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em: 07/01/2012.  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P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A42">
        <w:rPr>
          <w:rFonts w:ascii="Times New Roman" w:hAnsi="Times New Roman" w:cs="Times New Roman"/>
          <w:sz w:val="24"/>
          <w:szCs w:val="24"/>
        </w:rPr>
        <w:t>AMARAL, D</w:t>
      </w:r>
      <w:r w:rsidR="00FF2381">
        <w:rPr>
          <w:rFonts w:ascii="Times New Roman" w:hAnsi="Times New Roman" w:cs="Times New Roman"/>
          <w:sz w:val="24"/>
          <w:szCs w:val="24"/>
        </w:rPr>
        <w:t>aniel</w:t>
      </w:r>
      <w:r w:rsidRPr="00DB5A42">
        <w:rPr>
          <w:rFonts w:ascii="Times New Roman" w:hAnsi="Times New Roman" w:cs="Times New Roman"/>
          <w:sz w:val="24"/>
          <w:szCs w:val="24"/>
        </w:rPr>
        <w:t xml:space="preserve"> F</w:t>
      </w:r>
      <w:r w:rsidR="00FF2381">
        <w:rPr>
          <w:rFonts w:ascii="Times New Roman" w:hAnsi="Times New Roman" w:cs="Times New Roman"/>
          <w:sz w:val="24"/>
          <w:szCs w:val="24"/>
        </w:rPr>
        <w:t>urlan</w:t>
      </w:r>
      <w:r w:rsidRPr="00DB5A42">
        <w:rPr>
          <w:rFonts w:ascii="Times New Roman" w:hAnsi="Times New Roman" w:cs="Times New Roman"/>
          <w:sz w:val="24"/>
          <w:szCs w:val="24"/>
        </w:rPr>
        <w:t xml:space="preserve">. </w:t>
      </w:r>
      <w:r w:rsidRPr="000C2CED">
        <w:rPr>
          <w:rFonts w:ascii="Times New Roman" w:hAnsi="Times New Roman" w:cs="Times New Roman"/>
          <w:b/>
          <w:sz w:val="24"/>
          <w:szCs w:val="24"/>
        </w:rPr>
        <w:t>Desmistificando o Programa Nacional de Produção e Uso de Biodiesel: a visão da indústria brasileira de óleos vegetais.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19A">
        <w:rPr>
          <w:rFonts w:ascii="Times New Roman" w:hAnsi="Times New Roman" w:cs="Times New Roman"/>
          <w:sz w:val="24"/>
          <w:szCs w:val="24"/>
        </w:rPr>
        <w:t xml:space="preserve">São Paulo: ABIOVE, 2009. 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69EE" w:rsidRDefault="00456F44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ANP</w:t>
      </w:r>
      <w:r w:rsidR="009E550B">
        <w:rPr>
          <w:rFonts w:ascii="Times New Roman" w:hAnsi="Times New Roman" w:cs="Times New Roman"/>
          <w:sz w:val="24"/>
          <w:szCs w:val="24"/>
        </w:rPr>
        <w:t xml:space="preserve">. </w:t>
      </w:r>
      <w:r w:rsidR="009E550B" w:rsidRPr="000C2CED">
        <w:rPr>
          <w:rFonts w:ascii="Times New Roman" w:hAnsi="Times New Roman" w:cs="Times New Roman"/>
          <w:sz w:val="24"/>
          <w:szCs w:val="24"/>
        </w:rPr>
        <w:t>Anuário estatístico brasileiro do petróleo, gás natural e biocombustíveis</w:t>
      </w:r>
      <w:r w:rsidR="009E550B">
        <w:rPr>
          <w:rFonts w:ascii="Times New Roman" w:hAnsi="Times New Roman" w:cs="Times New Roman"/>
          <w:sz w:val="24"/>
          <w:szCs w:val="24"/>
        </w:rPr>
        <w:t xml:space="preserve">. Rio de Janeiro: ANP, </w:t>
      </w:r>
      <w:proofErr w:type="gramStart"/>
      <w:r w:rsidR="009E550B">
        <w:rPr>
          <w:rFonts w:ascii="Times New Roman" w:hAnsi="Times New Roman" w:cs="Times New Roman"/>
          <w:sz w:val="24"/>
          <w:szCs w:val="24"/>
        </w:rPr>
        <w:t>2011</w:t>
      </w:r>
      <w:r w:rsidR="002255B3">
        <w:rPr>
          <w:rFonts w:ascii="Times New Roman" w:hAnsi="Times New Roman" w:cs="Times New Roman"/>
          <w:sz w:val="24"/>
          <w:szCs w:val="24"/>
        </w:rPr>
        <w:t>a</w:t>
      </w:r>
      <w:r w:rsidR="009E55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5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5B3" w:rsidRDefault="002255B3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5B3" w:rsidRPr="00EA5AB2" w:rsidRDefault="00456F44" w:rsidP="0022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ANP</w:t>
      </w:r>
      <w:r w:rsidR="002255B3">
        <w:rPr>
          <w:rFonts w:ascii="Times New Roman" w:hAnsi="Times New Roman" w:cs="Times New Roman"/>
          <w:sz w:val="24"/>
          <w:szCs w:val="24"/>
        </w:rPr>
        <w:t>. Dados estatísticos mensais. ANP, 2011b</w:t>
      </w:r>
      <w:r w:rsidR="002255B3" w:rsidRPr="009E550B">
        <w:rPr>
          <w:rFonts w:ascii="Times New Roman" w:hAnsi="Times New Roman" w:cs="Times New Roman"/>
          <w:sz w:val="24"/>
          <w:szCs w:val="24"/>
        </w:rPr>
        <w:t>.</w:t>
      </w:r>
      <w:r w:rsidR="002255B3"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="002255B3" w:rsidRPr="002255B3">
        <w:t xml:space="preserve"> </w:t>
      </w:r>
      <w:hyperlink r:id="rId13" w:history="1">
        <w:r w:rsidR="002255B3" w:rsidRPr="00602BBC">
          <w:rPr>
            <w:rStyle w:val="Hyperlink"/>
            <w:rFonts w:ascii="Times New Roman" w:hAnsi="Times New Roman" w:cs="Times New Roman"/>
            <w:sz w:val="24"/>
            <w:szCs w:val="24"/>
          </w:rPr>
          <w:t>http://www.anp.gov.br/?pg=58457&amp;m=&amp;t1=&amp;t2=&amp;t3=&amp;t4=&amp;ar=&amp;ps=&amp;cachebust=1326117605546</w:t>
        </w:r>
      </w:hyperlink>
      <w:r w:rsidR="002255B3">
        <w:rPr>
          <w:rFonts w:ascii="Times New Roman" w:hAnsi="Times New Roman" w:cs="Times New Roman"/>
          <w:sz w:val="24"/>
          <w:szCs w:val="24"/>
        </w:rPr>
        <w:t>&gt;.</w:t>
      </w:r>
      <w:r w:rsidR="002255B3" w:rsidRPr="003A43A4">
        <w:rPr>
          <w:rFonts w:ascii="Times New Roman" w:hAnsi="Times New Roman" w:cs="Times New Roman"/>
          <w:sz w:val="24"/>
          <w:szCs w:val="24"/>
        </w:rPr>
        <w:t xml:space="preserve"> </w:t>
      </w:r>
      <w:r w:rsidR="002255B3" w:rsidRPr="00EA5AB2">
        <w:rPr>
          <w:rFonts w:ascii="Times New Roman" w:hAnsi="Times New Roman" w:cs="Times New Roman"/>
          <w:sz w:val="24"/>
          <w:szCs w:val="24"/>
        </w:rPr>
        <w:t xml:space="preserve">Acesso em: 28/12/2011. </w:t>
      </w:r>
    </w:p>
    <w:p w:rsidR="00493387" w:rsidRPr="00EA5AB2" w:rsidRDefault="00493387" w:rsidP="0022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387" w:rsidRPr="00E51045" w:rsidRDefault="00456F44" w:rsidP="004933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ANP</w:t>
      </w:r>
      <w:r w:rsidR="00493387">
        <w:rPr>
          <w:rFonts w:ascii="Times New Roman" w:hAnsi="Times New Roman" w:cs="Times New Roman"/>
          <w:sz w:val="24"/>
          <w:szCs w:val="24"/>
        </w:rPr>
        <w:t xml:space="preserve">. Boletim Mensal de Biodiesel. </w:t>
      </w:r>
      <w:r w:rsidR="00692E07">
        <w:rPr>
          <w:rFonts w:ascii="Times New Roman" w:hAnsi="Times New Roman" w:cs="Times New Roman"/>
          <w:sz w:val="24"/>
          <w:szCs w:val="24"/>
        </w:rPr>
        <w:t xml:space="preserve">Brasília: </w:t>
      </w:r>
      <w:r w:rsidR="00493387">
        <w:rPr>
          <w:rFonts w:ascii="Times New Roman" w:hAnsi="Times New Roman" w:cs="Times New Roman"/>
          <w:sz w:val="24"/>
          <w:szCs w:val="24"/>
        </w:rPr>
        <w:t>ANP, 2011c</w:t>
      </w:r>
      <w:r w:rsidR="00493387" w:rsidRPr="009E550B">
        <w:rPr>
          <w:rFonts w:ascii="Times New Roman" w:hAnsi="Times New Roman" w:cs="Times New Roman"/>
          <w:sz w:val="24"/>
          <w:szCs w:val="24"/>
        </w:rPr>
        <w:t>.</w:t>
      </w:r>
      <w:r w:rsidR="00493387">
        <w:rPr>
          <w:rFonts w:ascii="Times New Roman" w:hAnsi="Times New Roman" w:cs="Times New Roman"/>
          <w:sz w:val="24"/>
          <w:szCs w:val="24"/>
        </w:rPr>
        <w:t xml:space="preserve"> Disponível em: &lt;</w:t>
      </w:r>
      <w:r w:rsidR="00493387" w:rsidRPr="002255B3">
        <w:t xml:space="preserve"> </w:t>
      </w:r>
      <w:hyperlink r:id="rId14" w:history="1">
        <w:r w:rsidR="00493387" w:rsidRPr="00602BBC">
          <w:rPr>
            <w:rStyle w:val="Hyperlink"/>
            <w:rFonts w:ascii="Times New Roman" w:hAnsi="Times New Roman" w:cs="Times New Roman"/>
            <w:sz w:val="24"/>
            <w:szCs w:val="24"/>
          </w:rPr>
          <w:t>http://www.anp.gov.br/?pg=58819&amp;m=&amp;t1=&amp;t2=&amp;t3=&amp;t4=&amp;ar=&amp;ps=&amp;cachebust=1326117874875</w:t>
        </w:r>
      </w:hyperlink>
      <w:r w:rsidR="00493387">
        <w:rPr>
          <w:rFonts w:ascii="Times New Roman" w:hAnsi="Times New Roman" w:cs="Times New Roman"/>
          <w:sz w:val="24"/>
          <w:szCs w:val="24"/>
        </w:rPr>
        <w:t>&gt;.</w:t>
      </w:r>
      <w:r w:rsidR="00493387" w:rsidRPr="003A43A4">
        <w:rPr>
          <w:rFonts w:ascii="Times New Roman" w:hAnsi="Times New Roman" w:cs="Times New Roman"/>
          <w:sz w:val="24"/>
          <w:szCs w:val="24"/>
        </w:rPr>
        <w:t xml:space="preserve"> </w:t>
      </w:r>
      <w:r w:rsidR="00493387" w:rsidRPr="00E51045">
        <w:rPr>
          <w:rFonts w:ascii="Times New Roman" w:hAnsi="Times New Roman" w:cs="Times New Roman"/>
          <w:sz w:val="24"/>
          <w:szCs w:val="24"/>
        </w:rPr>
        <w:t xml:space="preserve">Acesso em: 28/12/2011. </w:t>
      </w: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E07" w:rsidRDefault="00692E07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ANP. </w:t>
      </w:r>
      <w:r w:rsidR="00AB6D73" w:rsidRPr="00AB6D73">
        <w:rPr>
          <w:rFonts w:ascii="Times New Roman" w:hAnsi="Times New Roman" w:cs="Times New Roman"/>
          <w:sz w:val="24"/>
          <w:szCs w:val="24"/>
        </w:rPr>
        <w:t>Preços de produtores e importadores de derivados de petróleo</w:t>
      </w:r>
      <w:r w:rsidR="00AB6D73">
        <w:rPr>
          <w:rFonts w:ascii="Times New Roman" w:hAnsi="Times New Roman" w:cs="Times New Roman"/>
          <w:sz w:val="24"/>
          <w:szCs w:val="24"/>
        </w:rPr>
        <w:t xml:space="preserve">. ANP/CDC: </w:t>
      </w:r>
      <w:proofErr w:type="gramStart"/>
      <w:r w:rsidR="00AB6D73">
        <w:rPr>
          <w:rFonts w:ascii="Times New Roman" w:hAnsi="Times New Roman" w:cs="Times New Roman"/>
          <w:sz w:val="24"/>
          <w:szCs w:val="24"/>
        </w:rPr>
        <w:t>2011d</w:t>
      </w:r>
      <w:proofErr w:type="gramEnd"/>
      <w:r w:rsidR="00AB6D73">
        <w:rPr>
          <w:rFonts w:ascii="Times New Roman" w:hAnsi="Times New Roman" w:cs="Times New Roman"/>
          <w:sz w:val="24"/>
          <w:szCs w:val="24"/>
        </w:rPr>
        <w:t>. Disponível em: &lt;</w:t>
      </w:r>
      <w:hyperlink r:id="rId15" w:history="1">
        <w:r w:rsidR="00AB6D73" w:rsidRPr="00B83149">
          <w:rPr>
            <w:rStyle w:val="Hyperlink"/>
            <w:rFonts w:ascii="Times New Roman" w:hAnsi="Times New Roman" w:cs="Times New Roman"/>
            <w:sz w:val="24"/>
            <w:szCs w:val="24"/>
          </w:rPr>
          <w:t>http://www.anp.gov.br/?pg=58472&amp;m=&amp;t1=&amp;t2=&amp;t3=&amp;t4=&amp;ar=&amp;ps=&amp;cachebust=1326649975781</w:t>
        </w:r>
      </w:hyperlink>
      <w:r w:rsidR="00AB6D73">
        <w:rPr>
          <w:rFonts w:ascii="Times New Roman" w:hAnsi="Times New Roman" w:cs="Times New Roman"/>
          <w:sz w:val="24"/>
          <w:szCs w:val="24"/>
        </w:rPr>
        <w:t xml:space="preserve">&gt;. Acesso em: 03/02/2012. </w:t>
      </w:r>
    </w:p>
    <w:p w:rsidR="00692E07" w:rsidRPr="00E51045" w:rsidRDefault="00692E07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2A9" w:rsidRDefault="007142A9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APROBIO.</w:t>
      </w:r>
      <w:r w:rsidRPr="007142A9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Nova lei do biodiesel deve ficar pronta no início de 2012. Disponível em: </w:t>
      </w:r>
      <w:r w:rsidR="00DE08F3">
        <w:rPr>
          <w:rFonts w:ascii="Times New Roman" w:hAnsi="Times New Roman" w:cs="Times New Roman"/>
          <w:sz w:val="24"/>
          <w:szCs w:val="24"/>
        </w:rPr>
        <w:t>&lt;</w:t>
      </w:r>
      <w:r w:rsidR="00DE08F3" w:rsidRPr="00DE08F3">
        <w:t xml:space="preserve"> </w:t>
      </w:r>
      <w:hyperlink r:id="rId16" w:history="1">
        <w:r w:rsidR="00DE08F3" w:rsidRPr="000A7C09">
          <w:rPr>
            <w:rStyle w:val="Hyperlink"/>
            <w:rFonts w:ascii="Times New Roman" w:hAnsi="Times New Roman" w:cs="Times New Roman"/>
            <w:sz w:val="24"/>
            <w:szCs w:val="24"/>
          </w:rPr>
          <w:t>http://www.bsbios.com/?menu=noticias&amp;id=262</w:t>
        </w:r>
      </w:hyperlink>
      <w:r w:rsidR="00DE08F3">
        <w:rPr>
          <w:rFonts w:ascii="Times New Roman" w:hAnsi="Times New Roman" w:cs="Times New Roman"/>
          <w:sz w:val="24"/>
          <w:szCs w:val="24"/>
        </w:rPr>
        <w:t xml:space="preserve">&gt;. Acesso em: </w:t>
      </w:r>
      <w:r w:rsidR="00CC1DF0">
        <w:rPr>
          <w:rFonts w:ascii="Times New Roman" w:hAnsi="Times New Roman" w:cs="Times New Roman"/>
          <w:sz w:val="24"/>
          <w:szCs w:val="24"/>
        </w:rPr>
        <w:t>12/12/2011.</w:t>
      </w:r>
      <w:r w:rsidR="00DE0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2A9" w:rsidRDefault="007142A9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09B" w:rsidRDefault="00BB309B" w:rsidP="00BB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BARBOSA, Mariana. </w:t>
      </w:r>
      <w:r w:rsidRPr="00A95924">
        <w:rPr>
          <w:rFonts w:ascii="Times New Roman" w:hAnsi="Times New Roman" w:cs="Times New Roman"/>
          <w:b/>
          <w:sz w:val="24"/>
          <w:szCs w:val="24"/>
        </w:rPr>
        <w:t>Brasil</w:t>
      </w:r>
      <w:r w:rsidRPr="00E65EF4">
        <w:rPr>
          <w:rFonts w:ascii="Times New Roman" w:hAnsi="Times New Roman" w:cs="Times New Roman"/>
          <w:sz w:val="24"/>
          <w:szCs w:val="24"/>
        </w:rPr>
        <w:t xml:space="preserve"> </w:t>
      </w:r>
      <w:r w:rsidRPr="00A95924">
        <w:rPr>
          <w:rFonts w:ascii="Times New Roman" w:hAnsi="Times New Roman" w:cs="Times New Roman"/>
          <w:b/>
          <w:sz w:val="24"/>
          <w:szCs w:val="24"/>
        </w:rPr>
        <w:t>vira o maior consumidor de biodiesel do mundo</w:t>
      </w:r>
      <w:r>
        <w:rPr>
          <w:rFonts w:ascii="Times New Roman" w:hAnsi="Times New Roman" w:cs="Times New Roman"/>
          <w:sz w:val="24"/>
          <w:szCs w:val="24"/>
        </w:rPr>
        <w:t>. Folha de São Paulo, São Paulo, p. B-17, 26 out. 2011.</w:t>
      </w:r>
    </w:p>
    <w:p w:rsidR="00BB309B" w:rsidRDefault="00BB309B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E7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da Agricultura, Pecuária e Abastecimento. </w:t>
      </w:r>
      <w:r w:rsidRPr="004B208E">
        <w:rPr>
          <w:rFonts w:ascii="Times New Roman" w:hAnsi="Times New Roman" w:cs="Times New Roman"/>
          <w:b/>
          <w:sz w:val="24"/>
          <w:szCs w:val="24"/>
        </w:rPr>
        <w:t>Intercâmbio comercial do agronegócio: principais mercados de destino</w:t>
      </w:r>
      <w:r>
        <w:rPr>
          <w:rFonts w:ascii="Times New Roman" w:hAnsi="Times New Roman" w:cs="Times New Roman"/>
          <w:sz w:val="24"/>
          <w:szCs w:val="24"/>
        </w:rPr>
        <w:t>. Brasília: MAPA/ACS, 2009. 469p.</w:t>
      </w:r>
    </w:p>
    <w:p w:rsidR="00CC20E7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1C6" w:rsidRPr="00CC20E7" w:rsidRDefault="000831C6" w:rsidP="00083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da Agricultura, Pecuária e Abastecimento. Companhia Nacional de Abastecimento. </w:t>
      </w:r>
      <w:r w:rsidRPr="003E21AE">
        <w:rPr>
          <w:rFonts w:ascii="Times New Roman" w:hAnsi="Times New Roman" w:cs="Times New Roman"/>
          <w:sz w:val="24"/>
          <w:szCs w:val="24"/>
        </w:rPr>
        <w:t>Acompanhamento de safra brasileira: grãos, terceiro</w:t>
      </w:r>
      <w:r>
        <w:rPr>
          <w:rFonts w:ascii="Times New Roman" w:hAnsi="Times New Roman" w:cs="Times New Roman"/>
          <w:sz w:val="24"/>
          <w:szCs w:val="24"/>
        </w:rPr>
        <w:t xml:space="preserve"> levantamento, dezembro </w:t>
      </w:r>
      <w:proofErr w:type="gramStart"/>
      <w:r>
        <w:rPr>
          <w:rFonts w:ascii="Times New Roman" w:hAnsi="Times New Roman" w:cs="Times New Roman"/>
          <w:sz w:val="24"/>
          <w:szCs w:val="24"/>
        </w:rPr>
        <w:t>2011a.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Brasília</w:t>
      </w:r>
      <w:r w:rsidRPr="003E21AE">
        <w:rPr>
          <w:rFonts w:ascii="Times New Roman" w:hAnsi="Times New Roman" w:cs="Times New Roman"/>
          <w:sz w:val="24"/>
          <w:szCs w:val="24"/>
        </w:rPr>
        <w:t>: Conab, 2011.</w:t>
      </w:r>
      <w:r>
        <w:rPr>
          <w:rFonts w:ascii="Times New Roman" w:hAnsi="Times New Roman" w:cs="Times New Roman"/>
          <w:sz w:val="24"/>
          <w:szCs w:val="24"/>
        </w:rPr>
        <w:t xml:space="preserve"> Disponível em: &lt;</w:t>
      </w:r>
      <w:hyperlink r:id="rId17" w:history="1">
        <w:r w:rsidRPr="00602BBC">
          <w:rPr>
            <w:rStyle w:val="Hyperlink"/>
            <w:rFonts w:ascii="Times New Roman" w:hAnsi="Times New Roman" w:cs="Times New Roman"/>
            <w:sz w:val="24"/>
            <w:szCs w:val="24"/>
          </w:rPr>
          <w:t>http://www.conab.gov.br/OlalaCMS/uploads/arquivos/11_12_08_10_58_12_08.pdf</w:t>
        </w:r>
      </w:hyperlink>
      <w:r>
        <w:rPr>
          <w:rFonts w:ascii="Times New Roman" w:hAnsi="Times New Roman" w:cs="Times New Roman"/>
          <w:sz w:val="24"/>
          <w:szCs w:val="24"/>
        </w:rPr>
        <w:t>&gt;. Acesso em: 21/12/2011.</w:t>
      </w:r>
    </w:p>
    <w:p w:rsidR="000831C6" w:rsidRDefault="000831C6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E7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do Desenvolvimento Agrário. </w:t>
      </w:r>
      <w:r w:rsidRPr="00F83353">
        <w:rPr>
          <w:rFonts w:ascii="Times New Roman" w:hAnsi="Times New Roman" w:cs="Times New Roman"/>
          <w:b/>
          <w:sz w:val="24"/>
          <w:szCs w:val="24"/>
        </w:rPr>
        <w:t>Programa Nacional de Produção e Uso de Biodiesel – inclusão social e desenvolvimento territorial</w:t>
      </w:r>
      <w:r w:rsidR="000831C6">
        <w:rPr>
          <w:rFonts w:ascii="Times New Roman" w:hAnsi="Times New Roman" w:cs="Times New Roman"/>
          <w:sz w:val="24"/>
          <w:szCs w:val="24"/>
        </w:rPr>
        <w:t>. Brasília: MDA, 2011b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7482" w:rsidRDefault="006F7482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E7" w:rsidRPr="00B0398C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de Minas e Energia. </w:t>
      </w:r>
      <w:r w:rsidRPr="00D81F9F">
        <w:rPr>
          <w:rFonts w:ascii="Times New Roman" w:hAnsi="Times New Roman" w:cs="Times New Roman"/>
          <w:sz w:val="24"/>
          <w:szCs w:val="24"/>
        </w:rPr>
        <w:t>Empresa de Pesquisa Energética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0680">
        <w:rPr>
          <w:rFonts w:ascii="Times New Roman" w:hAnsi="Times New Roman" w:cs="Times New Roman"/>
          <w:b/>
          <w:sz w:val="24"/>
          <w:szCs w:val="24"/>
        </w:rPr>
        <w:t>Plano Decenal de Expansão de Energia 2020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398C">
        <w:rPr>
          <w:rFonts w:ascii="Times New Roman" w:hAnsi="Times New Roman" w:cs="Times New Roman"/>
          <w:sz w:val="24"/>
          <w:szCs w:val="24"/>
        </w:rPr>
        <w:t>Brasília: MME/EPE, 2011</w:t>
      </w:r>
      <w:r w:rsidR="000831C6">
        <w:rPr>
          <w:rFonts w:ascii="Times New Roman" w:hAnsi="Times New Roman" w:cs="Times New Roman"/>
          <w:sz w:val="24"/>
          <w:szCs w:val="24"/>
        </w:rPr>
        <w:t>c</w:t>
      </w:r>
      <w:r w:rsidRPr="00B039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0E7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0E7" w:rsidRDefault="00CC20E7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Ministério do Desenvolvimento, Indústria e Comércio Exterior. </w:t>
      </w:r>
      <w:r w:rsidRPr="00481000">
        <w:rPr>
          <w:rFonts w:ascii="Times New Roman" w:hAnsi="Times New Roman" w:cs="Times New Roman"/>
          <w:b/>
          <w:sz w:val="24"/>
          <w:szCs w:val="24"/>
        </w:rPr>
        <w:t>Sistema ALICEWEB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hyperlink r:id="rId18" w:history="1">
        <w:r w:rsidRPr="008C619A">
          <w:rPr>
            <w:rStyle w:val="Hyperlink"/>
            <w:rFonts w:ascii="Times New Roman" w:hAnsi="Times New Roman" w:cs="Times New Roman"/>
            <w:sz w:val="24"/>
            <w:szCs w:val="24"/>
          </w:rPr>
          <w:t>http://aliceweb.desenvolvimento.gov.br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Acesso em: 08/01/2012. </w:t>
      </w:r>
    </w:p>
    <w:p w:rsidR="00CC20E7" w:rsidRDefault="00CC20E7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482" w:rsidRPr="00486E07" w:rsidRDefault="006F7482" w:rsidP="006F7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6B1">
        <w:rPr>
          <w:rFonts w:ascii="Times New Roman" w:hAnsi="Times New Roman" w:cs="Times New Roman"/>
          <w:sz w:val="24"/>
          <w:szCs w:val="24"/>
        </w:rPr>
        <w:t>CASTILHOS, C</w:t>
      </w:r>
      <w:r w:rsidR="00FF2381">
        <w:rPr>
          <w:rFonts w:ascii="Times New Roman" w:hAnsi="Times New Roman" w:cs="Times New Roman"/>
          <w:sz w:val="24"/>
          <w:szCs w:val="24"/>
        </w:rPr>
        <w:t>larisse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FF2381">
        <w:rPr>
          <w:rFonts w:ascii="Times New Roman" w:hAnsi="Times New Roman" w:cs="Times New Roman"/>
          <w:sz w:val="24"/>
          <w:szCs w:val="24"/>
        </w:rPr>
        <w:t>hiappini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CALANDRO, M</w:t>
      </w:r>
      <w:r w:rsidR="00FF2381">
        <w:rPr>
          <w:rFonts w:ascii="Times New Roman" w:hAnsi="Times New Roman" w:cs="Times New Roman"/>
          <w:sz w:val="24"/>
          <w:szCs w:val="24"/>
        </w:rPr>
        <w:t>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FF2381">
        <w:rPr>
          <w:rFonts w:ascii="Times New Roman" w:hAnsi="Times New Roman" w:cs="Times New Roman"/>
          <w:sz w:val="24"/>
          <w:szCs w:val="24"/>
        </w:rPr>
        <w:t>ucrécia</w:t>
      </w:r>
      <w:proofErr w:type="spellEnd"/>
      <w:r w:rsidR="00FF2381">
        <w:rPr>
          <w:rFonts w:ascii="Times New Roman" w:hAnsi="Times New Roman" w:cs="Times New Roman"/>
          <w:sz w:val="24"/>
          <w:szCs w:val="24"/>
        </w:rPr>
        <w:t>; CAMPOS, Silvia Horst</w:t>
      </w:r>
      <w:r w:rsidRPr="001016B1">
        <w:rPr>
          <w:rFonts w:ascii="Times New Roman" w:hAnsi="Times New Roman" w:cs="Times New Roman"/>
          <w:sz w:val="24"/>
          <w:szCs w:val="24"/>
        </w:rPr>
        <w:t xml:space="preserve"> Reestruturação da indústria gaúcha sob a ótica da reordenação da economia mundial. In: CONCEIÇÃO, Octávio A. C. </w:t>
      </w:r>
      <w:proofErr w:type="spellStart"/>
      <w:proofErr w:type="gramStart"/>
      <w:r w:rsidRPr="001016B1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1016B1">
        <w:rPr>
          <w:rFonts w:ascii="Times New Roman" w:hAnsi="Times New Roman" w:cs="Times New Roman"/>
          <w:sz w:val="24"/>
          <w:szCs w:val="24"/>
        </w:rPr>
        <w:t xml:space="preserve"> al. (Org.). O movimento da produção. </w:t>
      </w:r>
      <w:r w:rsidRPr="00486E07">
        <w:rPr>
          <w:rFonts w:ascii="Times New Roman" w:hAnsi="Times New Roman" w:cs="Times New Roman"/>
          <w:sz w:val="24"/>
          <w:szCs w:val="24"/>
          <w:lang w:val="en-US"/>
        </w:rPr>
        <w:t xml:space="preserve">Porto </w:t>
      </w:r>
      <w:proofErr w:type="spellStart"/>
      <w:r w:rsidRPr="00486E07">
        <w:rPr>
          <w:rFonts w:ascii="Times New Roman" w:hAnsi="Times New Roman" w:cs="Times New Roman"/>
          <w:sz w:val="24"/>
          <w:szCs w:val="24"/>
          <w:lang w:val="en-US"/>
        </w:rPr>
        <w:t>Alegre</w:t>
      </w:r>
      <w:proofErr w:type="spellEnd"/>
      <w:r w:rsidRPr="00486E07">
        <w:rPr>
          <w:rFonts w:ascii="Times New Roman" w:hAnsi="Times New Roman" w:cs="Times New Roman"/>
          <w:sz w:val="24"/>
          <w:szCs w:val="24"/>
          <w:lang w:val="en-US"/>
        </w:rPr>
        <w:t xml:space="preserve">: FEE, 2010. </w:t>
      </w:r>
      <w:proofErr w:type="gramStart"/>
      <w:r w:rsidRPr="00486E0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486E07">
        <w:rPr>
          <w:rFonts w:ascii="Times New Roman" w:hAnsi="Times New Roman" w:cs="Times New Roman"/>
          <w:sz w:val="24"/>
          <w:szCs w:val="24"/>
          <w:lang w:val="en-US"/>
        </w:rPr>
        <w:t>Três</w:t>
      </w:r>
      <w:proofErr w:type="spellEnd"/>
      <w:r w:rsidRPr="00486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E07">
        <w:rPr>
          <w:rFonts w:ascii="Times New Roman" w:hAnsi="Times New Roman" w:cs="Times New Roman"/>
          <w:sz w:val="24"/>
          <w:szCs w:val="24"/>
          <w:lang w:val="en-US"/>
        </w:rPr>
        <w:t>décadas</w:t>
      </w:r>
      <w:proofErr w:type="spellEnd"/>
      <w:r w:rsidRPr="00486E0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486E07">
        <w:rPr>
          <w:rFonts w:ascii="Times New Roman" w:hAnsi="Times New Roman" w:cs="Times New Roman"/>
          <w:sz w:val="24"/>
          <w:szCs w:val="24"/>
          <w:lang w:val="en-US"/>
        </w:rPr>
        <w:t>economia</w:t>
      </w:r>
      <w:proofErr w:type="spellEnd"/>
      <w:r w:rsidRPr="00486E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86E07">
        <w:rPr>
          <w:rFonts w:ascii="Times New Roman" w:hAnsi="Times New Roman" w:cs="Times New Roman"/>
          <w:sz w:val="24"/>
          <w:szCs w:val="24"/>
          <w:lang w:val="en-US"/>
        </w:rPr>
        <w:t>gaúcha</w:t>
      </w:r>
      <w:proofErr w:type="spellEnd"/>
      <w:r w:rsidRPr="00486E07">
        <w:rPr>
          <w:rFonts w:ascii="Times New Roman" w:hAnsi="Times New Roman" w:cs="Times New Roman"/>
          <w:sz w:val="24"/>
          <w:szCs w:val="24"/>
          <w:lang w:val="en-US"/>
        </w:rPr>
        <w:t>, 2).</w:t>
      </w:r>
      <w:proofErr w:type="gramEnd"/>
    </w:p>
    <w:p w:rsidR="006F7482" w:rsidRPr="00486E07" w:rsidRDefault="006F7482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019A" w:rsidRPr="00CC20E7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F44">
        <w:rPr>
          <w:rFonts w:ascii="Times New Roman" w:hAnsi="Times New Roman" w:cs="Times New Roman"/>
          <w:sz w:val="24"/>
          <w:szCs w:val="24"/>
          <w:lang w:val="en-US"/>
        </w:rPr>
        <w:t>FAO.</w:t>
      </w:r>
      <w:proofErr w:type="gramEnd"/>
      <w:r w:rsidRPr="00456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Bioenergy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food security and sustainability – towards an international frame</w:t>
      </w:r>
      <w:r w:rsidR="00F83353">
        <w:rPr>
          <w:rFonts w:ascii="Times New Roman" w:hAnsi="Times New Roman" w:cs="Times New Roman"/>
          <w:sz w:val="24"/>
          <w:szCs w:val="24"/>
          <w:lang w:val="en-US"/>
        </w:rPr>
        <w:t>work.</w:t>
      </w:r>
      <w:proofErr w:type="gramEnd"/>
      <w:r w:rsidR="00F83353">
        <w:rPr>
          <w:rFonts w:ascii="Times New Roman" w:hAnsi="Times New Roman" w:cs="Times New Roman"/>
          <w:sz w:val="24"/>
          <w:szCs w:val="24"/>
          <w:lang w:val="en-US"/>
        </w:rPr>
        <w:t xml:space="preserve"> High-Level Conference on World Food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ecurity: the challenges of climate change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bioenergy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51045" w:rsidRPr="00CC20E7">
        <w:rPr>
          <w:rFonts w:ascii="Times New Roman" w:hAnsi="Times New Roman" w:cs="Times New Roman"/>
          <w:sz w:val="24"/>
          <w:szCs w:val="24"/>
        </w:rPr>
        <w:t>Rome</w:t>
      </w:r>
      <w:proofErr w:type="spellEnd"/>
      <w:r w:rsidR="00E51045" w:rsidRPr="00CC20E7">
        <w:rPr>
          <w:rFonts w:ascii="Times New Roman" w:hAnsi="Times New Roman" w:cs="Times New Roman"/>
          <w:sz w:val="24"/>
          <w:szCs w:val="24"/>
        </w:rPr>
        <w:t>: FAO,</w:t>
      </w:r>
      <w:r w:rsidRPr="00CC20E7">
        <w:rPr>
          <w:rFonts w:ascii="Times New Roman" w:hAnsi="Times New Roman" w:cs="Times New Roman"/>
          <w:sz w:val="24"/>
          <w:szCs w:val="24"/>
        </w:rPr>
        <w:t xml:space="preserve"> 2008. </w:t>
      </w:r>
    </w:p>
    <w:p w:rsidR="00B1019A" w:rsidRPr="00CC20E7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FEE. Economia gaúcha e reestruturação</w:t>
      </w:r>
      <w:r w:rsidRPr="00387475">
        <w:rPr>
          <w:rFonts w:ascii="Times New Roman" w:hAnsi="Times New Roman" w:cs="Times New Roman"/>
          <w:sz w:val="24"/>
          <w:szCs w:val="24"/>
        </w:rPr>
        <w:t xml:space="preserve"> nos anos 90</w:t>
      </w:r>
      <w:r>
        <w:rPr>
          <w:rFonts w:ascii="Times New Roman" w:hAnsi="Times New Roman" w:cs="Times New Roman"/>
          <w:sz w:val="24"/>
          <w:szCs w:val="24"/>
        </w:rPr>
        <w:t xml:space="preserve">. Porto Alegre: FEE, 2000. 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FGV. </w:t>
      </w:r>
      <w:r w:rsidRPr="009902AD">
        <w:rPr>
          <w:rFonts w:ascii="Times New Roman" w:hAnsi="Times New Roman" w:cs="Times New Roman"/>
          <w:sz w:val="24"/>
          <w:szCs w:val="24"/>
        </w:rPr>
        <w:t>O biodiesel e sua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2AD">
        <w:rPr>
          <w:rFonts w:ascii="Times New Roman" w:hAnsi="Times New Roman" w:cs="Times New Roman"/>
          <w:sz w:val="24"/>
          <w:szCs w:val="24"/>
        </w:rPr>
        <w:t>contribuição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2AD">
        <w:rPr>
          <w:rFonts w:ascii="Times New Roman" w:hAnsi="Times New Roman" w:cs="Times New Roman"/>
          <w:sz w:val="24"/>
          <w:szCs w:val="24"/>
        </w:rPr>
        <w:t>desenvolvimento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02AD">
        <w:rPr>
          <w:rFonts w:ascii="Times New Roman" w:hAnsi="Times New Roman" w:cs="Times New Roman"/>
          <w:sz w:val="24"/>
          <w:szCs w:val="24"/>
        </w:rPr>
        <w:t>Brasileiro</w:t>
      </w:r>
      <w:r>
        <w:rPr>
          <w:rFonts w:ascii="Times New Roman" w:hAnsi="Times New Roman" w:cs="Times New Roman"/>
          <w:sz w:val="24"/>
          <w:szCs w:val="24"/>
        </w:rPr>
        <w:t xml:space="preserve">. São Paulo: FGV Projetos, 2010. </w:t>
      </w:r>
    </w:p>
    <w:p w:rsidR="008737D5" w:rsidRDefault="008737D5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7D5" w:rsidRPr="008737D5" w:rsidRDefault="008737D5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37D5">
        <w:rPr>
          <w:rFonts w:ascii="Times New Roman" w:hAnsi="Times New Roman" w:cs="Times New Roman"/>
          <w:sz w:val="24"/>
          <w:szCs w:val="24"/>
          <w:lang w:val="en-US"/>
        </w:rPr>
        <w:lastRenderedPageBreak/>
        <w:t>FMI.</w:t>
      </w:r>
      <w:proofErr w:type="gramEnd"/>
      <w:r w:rsidRPr="008737D5">
        <w:rPr>
          <w:rFonts w:ascii="Times New Roman" w:hAnsi="Times New Roman" w:cs="Times New Roman"/>
          <w:sz w:val="24"/>
          <w:szCs w:val="24"/>
          <w:lang w:val="en-US"/>
        </w:rPr>
        <w:t xml:space="preserve"> World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Economic Outlook 2011Database, September 2011. </w:t>
      </w:r>
      <w:r w:rsidRPr="008737D5">
        <w:rPr>
          <w:rFonts w:ascii="Times New Roman" w:hAnsi="Times New Roman" w:cs="Times New Roman"/>
          <w:sz w:val="24"/>
          <w:szCs w:val="24"/>
        </w:rPr>
        <w:t>Disponível em: &lt;</w:t>
      </w:r>
      <w:r w:rsidRPr="008737D5">
        <w:t xml:space="preserve"> </w:t>
      </w:r>
      <w:hyperlink r:id="rId19" w:history="1">
        <w:r w:rsidRPr="00ED0152">
          <w:rPr>
            <w:rStyle w:val="Hyperlink"/>
            <w:rFonts w:ascii="Times New Roman" w:hAnsi="Times New Roman" w:cs="Times New Roman"/>
            <w:sz w:val="24"/>
            <w:szCs w:val="24"/>
          </w:rPr>
          <w:t>http://www.imf.org/external/pubs/ft/weo/2011/02/weodata/weoselagr.aspx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 Aceso em: 09/01/2012.  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0E4" w:rsidRPr="00A00620" w:rsidRDefault="00DE50E4" w:rsidP="00DE5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IBGE. Censo Agropecuário 2006, Agricultura Familiar. </w:t>
      </w:r>
      <w:r w:rsidRPr="00A00620">
        <w:rPr>
          <w:rFonts w:ascii="Times New Roman" w:hAnsi="Times New Roman" w:cs="Times New Roman"/>
          <w:sz w:val="24"/>
          <w:szCs w:val="24"/>
        </w:rPr>
        <w:t xml:space="preserve">Rio de Janeiro: IBGE, 2006. </w:t>
      </w:r>
    </w:p>
    <w:p w:rsidR="00DE50E4" w:rsidRDefault="00DE50E4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IBGE. </w:t>
      </w:r>
      <w:r w:rsidRPr="00132144">
        <w:rPr>
          <w:rFonts w:ascii="Times New Roman" w:hAnsi="Times New Roman" w:cs="Times New Roman"/>
          <w:sz w:val="24"/>
          <w:szCs w:val="24"/>
        </w:rPr>
        <w:t>Pesq</w:t>
      </w:r>
      <w:r>
        <w:rPr>
          <w:rFonts w:ascii="Times New Roman" w:hAnsi="Times New Roman" w:cs="Times New Roman"/>
          <w:sz w:val="24"/>
          <w:szCs w:val="24"/>
        </w:rPr>
        <w:t>uisa Industrial Anual 2009.</w:t>
      </w:r>
      <w:r w:rsidRPr="00132144">
        <w:rPr>
          <w:rFonts w:ascii="Times New Roman" w:hAnsi="Times New Roman" w:cs="Times New Roman"/>
          <w:sz w:val="24"/>
          <w:szCs w:val="24"/>
        </w:rPr>
        <w:t xml:space="preserve"> Rio</w:t>
      </w:r>
      <w:r>
        <w:rPr>
          <w:rFonts w:ascii="Times New Roman" w:hAnsi="Times New Roman" w:cs="Times New Roman"/>
          <w:sz w:val="24"/>
          <w:szCs w:val="24"/>
        </w:rPr>
        <w:t xml:space="preserve"> de Janeiro, v. 28, n. 2</w:t>
      </w:r>
      <w:r w:rsidRPr="00132144">
        <w:rPr>
          <w:rFonts w:ascii="Times New Roman" w:hAnsi="Times New Roman" w:cs="Times New Roman"/>
          <w:sz w:val="24"/>
          <w:szCs w:val="24"/>
        </w:rPr>
        <w:t>, 2009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CC2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LIU,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521F9">
        <w:rPr>
          <w:rFonts w:ascii="Times New Roman" w:hAnsi="Times New Roman" w:cs="Times New Roman"/>
          <w:sz w:val="24"/>
          <w:szCs w:val="24"/>
          <w:lang w:val="en-US"/>
        </w:rPr>
        <w:t>ongbo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8247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521F9">
        <w:rPr>
          <w:rFonts w:ascii="Times New Roman" w:hAnsi="Times New Roman" w:cs="Times New Roman"/>
          <w:sz w:val="24"/>
          <w:szCs w:val="24"/>
          <w:lang w:val="en-US"/>
        </w:rPr>
        <w:t>DEBLITZ, Claus.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24732">
        <w:rPr>
          <w:rFonts w:ascii="Times New Roman" w:hAnsi="Times New Roman" w:cs="Times New Roman"/>
          <w:sz w:val="24"/>
          <w:szCs w:val="24"/>
          <w:lang w:val="en-US"/>
        </w:rPr>
        <w:t>Determinants of meat consumption in China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Orange: Asian Agribusiness Research Centre/</w:t>
      </w:r>
      <w:r w:rsidRPr="00A45430">
        <w:rPr>
          <w:rFonts w:ascii="Times New Roman" w:hAnsi="Times New Roman" w:cs="Times New Roman"/>
          <w:sz w:val="24"/>
          <w:szCs w:val="24"/>
          <w:lang w:val="en-US"/>
        </w:rPr>
        <w:t xml:space="preserve">Charles </w:t>
      </w:r>
      <w:proofErr w:type="spellStart"/>
      <w:r w:rsidRPr="00A45430">
        <w:rPr>
          <w:rFonts w:ascii="Times New Roman" w:hAnsi="Times New Roman" w:cs="Times New Roman"/>
          <w:sz w:val="24"/>
          <w:szCs w:val="24"/>
          <w:lang w:val="en-US"/>
        </w:rPr>
        <w:t>Sturt</w:t>
      </w:r>
      <w:proofErr w:type="spellEnd"/>
      <w:r w:rsidRPr="00A45430">
        <w:rPr>
          <w:rFonts w:ascii="Times New Roman" w:hAnsi="Times New Roman" w:cs="Times New Roman"/>
          <w:sz w:val="24"/>
          <w:szCs w:val="24"/>
          <w:lang w:val="en-US"/>
        </w:rPr>
        <w:t xml:space="preserve"> University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08B3">
        <w:rPr>
          <w:rFonts w:ascii="Times New Roman" w:hAnsi="Times New Roman" w:cs="Times New Roman"/>
          <w:sz w:val="24"/>
          <w:szCs w:val="24"/>
          <w:lang w:val="en-US"/>
        </w:rPr>
        <w:t xml:space="preserve">Working Paper 40, </w:t>
      </w:r>
      <w:proofErr w:type="spellStart"/>
      <w:proofErr w:type="gramStart"/>
      <w:r w:rsidRPr="004208B3">
        <w:rPr>
          <w:rFonts w:ascii="Times New Roman" w:hAnsi="Times New Roman" w:cs="Times New Roman"/>
          <w:sz w:val="24"/>
          <w:szCs w:val="24"/>
          <w:lang w:val="en-US"/>
        </w:rPr>
        <w:t>december</w:t>
      </w:r>
      <w:proofErr w:type="spellEnd"/>
      <w:proofErr w:type="gramEnd"/>
      <w:r w:rsidRPr="004208B3">
        <w:rPr>
          <w:rFonts w:ascii="Times New Roman" w:hAnsi="Times New Roman" w:cs="Times New Roman"/>
          <w:sz w:val="24"/>
          <w:szCs w:val="24"/>
          <w:lang w:val="en-US"/>
        </w:rPr>
        <w:t xml:space="preserve"> 2007. </w:t>
      </w:r>
      <w:r w:rsidRPr="00A45430">
        <w:rPr>
          <w:rFonts w:ascii="Times New Roman" w:hAnsi="Times New Roman" w:cs="Times New Roman"/>
          <w:sz w:val="24"/>
          <w:szCs w:val="24"/>
        </w:rPr>
        <w:t>Disponível em: &lt;</w:t>
      </w:r>
      <w:r w:rsidRPr="00A45430">
        <w:t xml:space="preserve"> </w:t>
      </w:r>
      <w:hyperlink r:id="rId20" w:history="1">
        <w:r w:rsidRPr="00A45430">
          <w:rPr>
            <w:rStyle w:val="Hyperlink"/>
            <w:rFonts w:ascii="Times New Roman" w:hAnsi="Times New Roman" w:cs="Times New Roman"/>
            <w:sz w:val="24"/>
            <w:szCs w:val="24"/>
          </w:rPr>
          <w:t>http://www.csu.edu.au/research/aarc/Docs/CN-meat.pdf</w:t>
        </w:r>
      </w:hyperlink>
      <w:r w:rsidRPr="00A45430">
        <w:rPr>
          <w:rFonts w:ascii="Times New Roman" w:hAnsi="Times New Roman" w:cs="Times New Roman"/>
          <w:sz w:val="24"/>
          <w:szCs w:val="24"/>
        </w:rPr>
        <w:t>&gt;. Acesso em: 12/12/2011.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</w:t>
      </w:r>
      <w:r w:rsidR="00E4770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SH, M</w:t>
      </w:r>
      <w:r w:rsidR="00E47706">
        <w:rPr>
          <w:rFonts w:ascii="Times New Roman" w:hAnsi="Times New Roman" w:cs="Times New Roman"/>
          <w:sz w:val="24"/>
          <w:szCs w:val="24"/>
        </w:rPr>
        <w:t>anfred</w:t>
      </w:r>
      <w:r>
        <w:rPr>
          <w:rFonts w:ascii="Times New Roman" w:hAnsi="Times New Roman" w:cs="Times New Roman"/>
          <w:sz w:val="24"/>
          <w:szCs w:val="24"/>
        </w:rPr>
        <w:t xml:space="preserve">. O programa de biocombustíveis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Proalcool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contexto da estratégia energética brasileira. </w:t>
      </w:r>
      <w:r w:rsidRPr="000C2CED">
        <w:rPr>
          <w:rFonts w:ascii="Times New Roman" w:hAnsi="Times New Roman" w:cs="Times New Roman"/>
          <w:b/>
          <w:sz w:val="24"/>
          <w:szCs w:val="24"/>
        </w:rPr>
        <w:t>Revista de Economia Política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C2CED">
        <w:rPr>
          <w:rFonts w:ascii="Times New Roman" w:hAnsi="Times New Roman" w:cs="Times New Roman"/>
          <w:sz w:val="24"/>
          <w:szCs w:val="24"/>
        </w:rPr>
        <w:t xml:space="preserve">São Paulo: Editora 34, v. 11, n.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0C2CED">
        <w:rPr>
          <w:rFonts w:ascii="Times New Roman" w:hAnsi="Times New Roman" w:cs="Times New Roman"/>
          <w:sz w:val="24"/>
          <w:szCs w:val="24"/>
        </w:rPr>
        <w:t xml:space="preserve"> p.</w:t>
      </w:r>
      <w:r w:rsidR="00311FCB">
        <w:rPr>
          <w:rFonts w:ascii="Times New Roman" w:hAnsi="Times New Roman" w:cs="Times New Roman"/>
          <w:sz w:val="24"/>
          <w:szCs w:val="24"/>
        </w:rPr>
        <w:t>123-138, abr.-jun.</w:t>
      </w:r>
      <w:r>
        <w:rPr>
          <w:rFonts w:ascii="Times New Roman" w:hAnsi="Times New Roman" w:cs="Times New Roman"/>
          <w:sz w:val="24"/>
          <w:szCs w:val="24"/>
        </w:rPr>
        <w:t xml:space="preserve"> 1991. </w:t>
      </w:r>
    </w:p>
    <w:p w:rsidR="00B1019A" w:rsidRPr="00E51045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19A">
        <w:rPr>
          <w:rFonts w:ascii="Times New Roman" w:hAnsi="Times New Roman" w:cs="Times New Roman"/>
          <w:sz w:val="24"/>
          <w:szCs w:val="24"/>
        </w:rPr>
        <w:t xml:space="preserve">OECD-FAO. </w:t>
      </w:r>
      <w:proofErr w:type="spellStart"/>
      <w:r w:rsidRPr="00B1019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B1019A">
        <w:rPr>
          <w:rFonts w:ascii="Times New Roman" w:hAnsi="Times New Roman" w:cs="Times New Roman"/>
          <w:sz w:val="24"/>
          <w:szCs w:val="24"/>
        </w:rPr>
        <w:t xml:space="preserve"> Outlook 2011-2020. </w:t>
      </w:r>
      <w:r w:rsidRPr="003B342A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21" w:history="1">
        <w:r w:rsidRPr="003B342A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http://dx.doi.org/10.1787/agr_outlook-2011-en</w:t>
        </w:r>
      </w:hyperlink>
      <w:r w:rsidRPr="003B34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Acesso em: 05/12/2011.</w:t>
      </w:r>
    </w:p>
    <w:p w:rsidR="00B1019A" w:rsidRP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1019A" w:rsidRPr="00E51045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OIL WORLD.</w:t>
      </w:r>
      <w:proofErr w:type="gramEnd"/>
      <w:r w:rsidRPr="00DF7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F78B1">
        <w:rPr>
          <w:rFonts w:ascii="Times New Roman" w:hAnsi="Times New Roman" w:cs="Times New Roman"/>
          <w:sz w:val="24"/>
          <w:szCs w:val="24"/>
          <w:lang w:val="en-US"/>
        </w:rPr>
        <w:t>Supply, Demand and Prices from 1976 through 2020.</w:t>
      </w:r>
      <w:proofErr w:type="gramEnd"/>
      <w:r w:rsidRPr="00DF78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D30">
        <w:rPr>
          <w:rFonts w:ascii="Times New Roman" w:hAnsi="Times New Roman" w:cs="Times New Roman"/>
          <w:sz w:val="24"/>
          <w:szCs w:val="24"/>
          <w:lang w:val="en-US"/>
        </w:rPr>
        <w:t>Hamburg: Oil World,</w:t>
      </w:r>
      <w:r w:rsidRPr="00E51045">
        <w:rPr>
          <w:rFonts w:ascii="Times New Roman" w:hAnsi="Times New Roman" w:cs="Times New Roman"/>
          <w:sz w:val="24"/>
          <w:szCs w:val="24"/>
          <w:lang w:val="en-US"/>
        </w:rPr>
        <w:t xml:space="preserve"> 1999. </w:t>
      </w:r>
    </w:p>
    <w:p w:rsidR="00B1019A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F69EE" w:rsidRDefault="002F69EE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F69EE">
        <w:rPr>
          <w:rFonts w:ascii="Times New Roman" w:hAnsi="Times New Roman" w:cs="Times New Roman"/>
          <w:sz w:val="24"/>
          <w:szCs w:val="24"/>
          <w:lang w:val="en-US"/>
        </w:rPr>
        <w:t>OIL WORLD.</w:t>
      </w:r>
      <w:proofErr w:type="gramEnd"/>
      <w:r w:rsidRPr="002F6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Oil World Annual</w:t>
      </w:r>
      <w:r w:rsidRPr="002F69EE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1019A">
        <w:rPr>
          <w:rFonts w:ascii="Times New Roman" w:hAnsi="Times New Roman" w:cs="Times New Roman"/>
          <w:sz w:val="24"/>
          <w:szCs w:val="24"/>
          <w:lang w:val="en-US"/>
        </w:rPr>
        <w:t>Hamburg, Germany, 2011.</w:t>
      </w:r>
    </w:p>
    <w:p w:rsidR="005A6F7D" w:rsidRDefault="005A6F7D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6F7D" w:rsidRPr="005E7D2E" w:rsidRDefault="005A6F7D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ONU.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World </w:t>
      </w:r>
      <w:r w:rsidR="008737D5">
        <w:rPr>
          <w:rFonts w:ascii="Times New Roman" w:hAnsi="Times New Roman" w:cs="Times New Roman"/>
          <w:sz w:val="24"/>
          <w:szCs w:val="24"/>
          <w:lang w:val="en-US"/>
        </w:rPr>
        <w:t>Urbanization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Prospects</w:t>
      </w:r>
      <w:r w:rsidR="008737D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737D5" w:rsidRPr="008737D5">
        <w:rPr>
          <w:rFonts w:ascii="Times New Roman" w:hAnsi="Times New Roman" w:cs="Times New Roman"/>
          <w:sz w:val="24"/>
          <w:szCs w:val="24"/>
          <w:lang w:val="en-US"/>
        </w:rPr>
        <w:t>The 2009 Revision Population Database</w:t>
      </w:r>
      <w:r w:rsidR="008737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8737D5">
        <w:rPr>
          <w:rFonts w:ascii="Times New Roman" w:hAnsi="Times New Roman" w:cs="Times New Roman"/>
          <w:sz w:val="24"/>
          <w:szCs w:val="24"/>
          <w:lang w:val="en-US"/>
        </w:rPr>
        <w:t>United Nations Population Division, 2010.</w:t>
      </w:r>
      <w:proofErr w:type="gramEnd"/>
      <w:r w:rsidR="008737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>&lt;</w:t>
      </w:r>
      <w:proofErr w:type="spellStart"/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2" w:history="1">
        <w:r w:rsidR="008737D5" w:rsidRPr="00CC20E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http://esa.un.org/wup2009/unup/index.asp?panel=1</w:t>
        </w:r>
      </w:hyperlink>
      <w:r w:rsidR="008737D5"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&gt;. </w:t>
      </w:r>
      <w:proofErr w:type="spellStart"/>
      <w:r w:rsidR="008737D5" w:rsidRPr="005E7D2E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="008737D5" w:rsidRPr="005E7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37D5" w:rsidRPr="005E7D2E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8737D5" w:rsidRPr="005E7D2E">
        <w:rPr>
          <w:rFonts w:ascii="Times New Roman" w:hAnsi="Times New Roman" w:cs="Times New Roman"/>
          <w:sz w:val="24"/>
          <w:szCs w:val="24"/>
          <w:lang w:val="en-US"/>
        </w:rPr>
        <w:t xml:space="preserve">: 05/12/2011.  </w:t>
      </w:r>
      <w:r w:rsidRPr="005E7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F69EE" w:rsidRPr="005E7D2E" w:rsidRDefault="002F69EE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21AE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301">
        <w:rPr>
          <w:rFonts w:ascii="Times New Roman" w:hAnsi="Times New Roman" w:cs="Times New Roman"/>
          <w:sz w:val="24"/>
          <w:szCs w:val="24"/>
          <w:lang w:val="en-US"/>
        </w:rPr>
        <w:t xml:space="preserve">RAJAGOPAL, </w:t>
      </w:r>
      <w:proofErr w:type="gramStart"/>
      <w:r w:rsidRPr="0041730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E7D2E">
        <w:rPr>
          <w:rFonts w:ascii="Times New Roman" w:hAnsi="Times New Roman" w:cs="Times New Roman"/>
          <w:sz w:val="24"/>
          <w:szCs w:val="24"/>
          <w:lang w:val="en-US"/>
        </w:rPr>
        <w:t>eepak</w:t>
      </w:r>
      <w:r w:rsidRPr="00417301">
        <w:rPr>
          <w:rFonts w:ascii="Times New Roman" w:hAnsi="Times New Roman" w:cs="Times New Roman"/>
          <w:sz w:val="24"/>
          <w:szCs w:val="24"/>
          <w:lang w:val="en-US"/>
        </w:rPr>
        <w:t>.;</w:t>
      </w:r>
      <w:proofErr w:type="gramEnd"/>
      <w:r w:rsidRPr="00417301">
        <w:rPr>
          <w:rFonts w:ascii="Times New Roman" w:hAnsi="Times New Roman" w:cs="Times New Roman"/>
          <w:sz w:val="24"/>
          <w:szCs w:val="24"/>
          <w:lang w:val="en-US"/>
        </w:rPr>
        <w:t xml:space="preserve"> ZILBERMAN, D</w:t>
      </w:r>
      <w:r w:rsidR="005E7D2E">
        <w:rPr>
          <w:rFonts w:ascii="Times New Roman" w:hAnsi="Times New Roman" w:cs="Times New Roman"/>
          <w:sz w:val="24"/>
          <w:szCs w:val="24"/>
          <w:lang w:val="en-US"/>
        </w:rPr>
        <w:t>avid</w:t>
      </w:r>
      <w:r w:rsidRPr="00417301">
        <w:rPr>
          <w:rFonts w:ascii="Times New Roman" w:hAnsi="Times New Roman" w:cs="Times New Roman"/>
          <w:sz w:val="24"/>
          <w:szCs w:val="24"/>
          <w:lang w:val="en-US"/>
        </w:rPr>
        <w:t xml:space="preserve">. Review of environmental, economic and policy aspects of </w:t>
      </w:r>
      <w:proofErr w:type="spellStart"/>
      <w:r w:rsidRPr="00417301">
        <w:rPr>
          <w:rFonts w:ascii="Times New Roman" w:hAnsi="Times New Roman" w:cs="Times New Roman"/>
          <w:sz w:val="24"/>
          <w:szCs w:val="24"/>
          <w:lang w:val="en-US"/>
        </w:rPr>
        <w:t>biofuels</w:t>
      </w:r>
      <w:proofErr w:type="spellEnd"/>
      <w:r w:rsidRPr="0041730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E51045" w:rsidRPr="008737D5">
        <w:rPr>
          <w:rFonts w:ascii="Times New Roman" w:hAnsi="Times New Roman" w:cs="Times New Roman"/>
          <w:sz w:val="24"/>
          <w:szCs w:val="24"/>
          <w:lang w:val="en-US"/>
        </w:rPr>
        <w:t xml:space="preserve">Policy Research Working Paper, </w:t>
      </w:r>
      <w:r w:rsidR="00E51045"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n. 4341, </w:t>
      </w:r>
      <w:r w:rsidRPr="00CC20E7">
        <w:rPr>
          <w:rFonts w:ascii="Times New Roman" w:hAnsi="Times New Roman" w:cs="Times New Roman"/>
          <w:sz w:val="24"/>
          <w:szCs w:val="24"/>
          <w:lang w:val="en-US"/>
        </w:rPr>
        <w:t>2007.</w:t>
      </w:r>
      <w:proofErr w:type="gramEnd"/>
      <w:r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0E7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0E7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CC20E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C63D3"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 &lt;</w:t>
      </w:r>
      <w:hyperlink r:id="rId23" w:history="1">
        <w:r w:rsidR="00DC63D3" w:rsidRPr="00CC20E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http://www.ncsu.edu/project/amazonia/for414/Readings/biofuels_wb.pdf</w:t>
        </w:r>
      </w:hyperlink>
      <w:r w:rsidR="00DC63D3" w:rsidRPr="00CC20E7">
        <w:rPr>
          <w:rFonts w:ascii="Times New Roman" w:hAnsi="Times New Roman" w:cs="Times New Roman"/>
          <w:sz w:val="24"/>
          <w:szCs w:val="24"/>
          <w:lang w:val="en-US"/>
        </w:rPr>
        <w:t>&gt;</w:t>
      </w:r>
      <w:r w:rsidRPr="00CC20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Acesso em: 14 de dezembro de 2011</w:t>
      </w:r>
      <w:r w:rsidRPr="00E15995">
        <w:rPr>
          <w:rFonts w:ascii="Times New Roman" w:hAnsi="Times New Roman" w:cs="Times New Roman"/>
          <w:sz w:val="24"/>
          <w:szCs w:val="24"/>
        </w:rPr>
        <w:t>.</w:t>
      </w:r>
    </w:p>
    <w:p w:rsidR="00387475" w:rsidRDefault="00387475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19A" w:rsidRPr="00E51045" w:rsidRDefault="00B1019A" w:rsidP="00B10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SOUZA JÚNIOR, M</w:t>
      </w:r>
      <w:r w:rsidR="005E7D2E">
        <w:rPr>
          <w:rFonts w:ascii="Times New Roman" w:hAnsi="Times New Roman" w:cs="Times New Roman"/>
          <w:sz w:val="24"/>
          <w:szCs w:val="24"/>
        </w:rPr>
        <w:t>anoel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E7D2E">
        <w:rPr>
          <w:rFonts w:ascii="Times New Roman" w:hAnsi="Times New Roman" w:cs="Times New Roman"/>
          <w:sz w:val="24"/>
          <w:szCs w:val="24"/>
        </w:rPr>
        <w:t>eixeira</w:t>
      </w:r>
      <w:r>
        <w:rPr>
          <w:rFonts w:ascii="Times New Roman" w:hAnsi="Times New Roman" w:cs="Times New Roman"/>
          <w:sz w:val="24"/>
          <w:szCs w:val="24"/>
        </w:rPr>
        <w:t xml:space="preserve">. As matérias primas do biodiesel em 2020. São Paulo: Conferência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Biodieselbr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 Disponível em: &lt;</w:t>
      </w:r>
      <w:hyperlink r:id="rId24" w:history="1">
        <w:r w:rsidRPr="008C619A">
          <w:rPr>
            <w:rStyle w:val="Hyperlink"/>
            <w:rFonts w:ascii="Times New Roman" w:hAnsi="Times New Roman" w:cs="Times New Roman"/>
            <w:sz w:val="24"/>
            <w:szCs w:val="24"/>
          </w:rPr>
          <w:t>http://www.biodieselbr.com/palestras/2011/embrapa.pdf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&gt;.  </w:t>
      </w:r>
      <w:proofErr w:type="spellStart"/>
      <w:r w:rsidRPr="00E51045">
        <w:rPr>
          <w:rFonts w:ascii="Times New Roman" w:hAnsi="Times New Roman" w:cs="Times New Roman"/>
          <w:sz w:val="24"/>
          <w:szCs w:val="24"/>
          <w:lang w:val="en-US"/>
        </w:rPr>
        <w:t>Acesso</w:t>
      </w:r>
      <w:proofErr w:type="spellEnd"/>
      <w:r w:rsidRPr="00E510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04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E51045">
        <w:rPr>
          <w:rFonts w:ascii="Times New Roman" w:hAnsi="Times New Roman" w:cs="Times New Roman"/>
          <w:sz w:val="24"/>
          <w:szCs w:val="24"/>
          <w:lang w:val="en-US"/>
        </w:rPr>
        <w:t>: 12/12/2011.</w:t>
      </w:r>
    </w:p>
    <w:p w:rsidR="00B1019A" w:rsidRPr="00E51045" w:rsidRDefault="00B1019A" w:rsidP="00524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D7BBD" w:rsidRDefault="00456F44" w:rsidP="00DB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019A">
        <w:rPr>
          <w:rFonts w:ascii="Times New Roman" w:hAnsi="Times New Roman" w:cs="Times New Roman"/>
          <w:sz w:val="24"/>
          <w:szCs w:val="24"/>
          <w:lang w:val="en-US"/>
        </w:rPr>
        <w:t>UNCTAD</w:t>
      </w:r>
      <w:r w:rsidR="008D7BBD" w:rsidRPr="00B1019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8D7BBD" w:rsidRPr="00B101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>Vegetable oils and oil s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>eeds: a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>rader</w:t>
      </w:r>
      <w:r w:rsidR="008D7BBD" w:rsidRPr="008D7BBD">
        <w:rPr>
          <w:rFonts w:ascii="Times New Roman" w:eastAsia="MS Mincho" w:hAnsi="Times New Roman" w:cs="Times New Roman"/>
          <w:sz w:val="24"/>
          <w:szCs w:val="24"/>
          <w:lang w:val="en-US"/>
        </w:rPr>
        <w:t>’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>s g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>uide. Volume II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 xml:space="preserve"> – Principal oils and seeds in world t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 xml:space="preserve">rade. 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 xml:space="preserve">Geneva: 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>International Trade Centre UNCTAD/GATT</w:t>
      </w:r>
      <w:r w:rsidR="008D7BB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D7BBD" w:rsidRPr="008D7BBD">
        <w:rPr>
          <w:rFonts w:ascii="Times New Roman" w:hAnsi="Times New Roman" w:cs="Times New Roman"/>
          <w:sz w:val="24"/>
          <w:szCs w:val="24"/>
          <w:lang w:val="en-US"/>
        </w:rPr>
        <w:t xml:space="preserve"> 1990.</w:t>
      </w:r>
    </w:p>
    <w:p w:rsidR="00824732" w:rsidRDefault="00824732" w:rsidP="00DB5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6F44" w:rsidRDefault="00456F44" w:rsidP="00456F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6F44">
        <w:rPr>
          <w:rFonts w:ascii="Times New Roman" w:hAnsi="Times New Roman" w:cs="Times New Roman"/>
          <w:sz w:val="24"/>
          <w:szCs w:val="24"/>
          <w:lang w:val="en-US"/>
        </w:rPr>
        <w:t>USDA.</w:t>
      </w:r>
      <w:proofErr w:type="gramEnd"/>
      <w:r w:rsidRPr="00456F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56F44">
        <w:rPr>
          <w:rFonts w:ascii="Times New Roman" w:hAnsi="Times New Roman" w:cs="Times New Roman"/>
          <w:sz w:val="24"/>
          <w:szCs w:val="24"/>
          <w:lang w:val="en-US"/>
        </w:rPr>
        <w:t>Production, Supply and Distribution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Online</w:t>
      </w:r>
      <w:r w:rsidRPr="00456F4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15B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15B88" w:rsidRPr="00015B88">
        <w:rPr>
          <w:rFonts w:ascii="Times New Roman" w:hAnsi="Times New Roman" w:cs="Times New Roman"/>
          <w:sz w:val="24"/>
          <w:szCs w:val="24"/>
        </w:rPr>
        <w:t>20</w:t>
      </w:r>
      <w:r w:rsidR="00015B88">
        <w:rPr>
          <w:rFonts w:ascii="Times New Roman" w:hAnsi="Times New Roman" w:cs="Times New Roman"/>
          <w:sz w:val="24"/>
          <w:szCs w:val="24"/>
        </w:rPr>
        <w:t>11a.</w:t>
      </w:r>
      <w:proofErr w:type="gramEnd"/>
      <w:r w:rsidRPr="00015B88">
        <w:rPr>
          <w:rFonts w:ascii="Times New Roman" w:hAnsi="Times New Roman" w:cs="Times New Roman"/>
          <w:sz w:val="24"/>
          <w:szCs w:val="24"/>
        </w:rPr>
        <w:t xml:space="preserve"> </w:t>
      </w:r>
      <w:r w:rsidRPr="00456F44">
        <w:rPr>
          <w:rFonts w:ascii="Times New Roman" w:hAnsi="Times New Roman" w:cs="Times New Roman"/>
          <w:sz w:val="24"/>
          <w:szCs w:val="24"/>
        </w:rPr>
        <w:t xml:space="preserve">Disponível em: </w:t>
      </w:r>
      <w:hyperlink r:id="rId25" w:history="1">
        <w:r w:rsidRPr="008C619A">
          <w:rPr>
            <w:rStyle w:val="Hyperlink"/>
            <w:rFonts w:ascii="Times New Roman" w:hAnsi="Times New Roman" w:cs="Times New Roman"/>
            <w:sz w:val="24"/>
            <w:szCs w:val="24"/>
          </w:rPr>
          <w:t>http://www.fas.usda.gov/psdonline/psdquery.aspx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5430">
        <w:rPr>
          <w:rFonts w:ascii="Times New Roman" w:hAnsi="Times New Roman" w:cs="Times New Roman"/>
          <w:sz w:val="24"/>
          <w:szCs w:val="24"/>
        </w:rPr>
        <w:t>Acesso em: 12/12/2011.</w:t>
      </w:r>
    </w:p>
    <w:p w:rsidR="00824732" w:rsidRDefault="00824732" w:rsidP="00824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42A" w:rsidRDefault="001B77CA" w:rsidP="001B7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77CA">
        <w:rPr>
          <w:rFonts w:ascii="Times New Roman" w:hAnsi="Times New Roman" w:cs="Times New Roman"/>
          <w:sz w:val="24"/>
          <w:szCs w:val="24"/>
          <w:lang w:val="en-US"/>
        </w:rPr>
        <w:t>USDA.</w:t>
      </w:r>
      <w:proofErr w:type="gramEnd"/>
      <w:r w:rsidRPr="001B77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B77CA">
        <w:rPr>
          <w:rFonts w:ascii="Times New Roman" w:hAnsi="Times New Roman" w:cs="Times New Roman"/>
          <w:sz w:val="24"/>
          <w:szCs w:val="24"/>
          <w:lang w:val="en-US"/>
        </w:rPr>
        <w:t>USDA Agricultural Projections to 2020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Washington: </w:t>
      </w:r>
      <w:r w:rsidRPr="001B77CA">
        <w:rPr>
          <w:rFonts w:ascii="Times New Roman" w:hAnsi="Times New Roman" w:cs="Times New Roman"/>
          <w:sz w:val="24"/>
          <w:szCs w:val="24"/>
          <w:lang w:val="en-US"/>
        </w:rPr>
        <w:t>World Agricultural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77CA">
        <w:rPr>
          <w:rFonts w:ascii="Times New Roman" w:hAnsi="Times New Roman" w:cs="Times New Roman"/>
          <w:sz w:val="24"/>
          <w:szCs w:val="24"/>
          <w:lang w:val="en-US"/>
        </w:rPr>
        <w:t>Outlook Board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2011b. </w:t>
      </w:r>
    </w:p>
    <w:p w:rsidR="001016B1" w:rsidRDefault="001016B1" w:rsidP="001B7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16B1" w:rsidRPr="0093114B" w:rsidRDefault="0093114B" w:rsidP="001B77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14B">
        <w:rPr>
          <w:rFonts w:ascii="Times New Roman" w:hAnsi="Times New Roman" w:cs="Times New Roman"/>
          <w:sz w:val="24"/>
          <w:szCs w:val="24"/>
        </w:rPr>
        <w:t>VARGAS, Rodrigo. Mistura obrigatória eleva em 2% preço do diesel, diz entidade</w:t>
      </w:r>
      <w:r w:rsidR="00BB309B">
        <w:rPr>
          <w:rFonts w:ascii="Times New Roman" w:hAnsi="Times New Roman" w:cs="Times New Roman"/>
          <w:sz w:val="24"/>
          <w:szCs w:val="24"/>
        </w:rPr>
        <w:t>. Folha de São Paulo, São Paulo, p. B-5, 18 jan. 2011.</w:t>
      </w:r>
    </w:p>
    <w:sectPr w:rsidR="001016B1" w:rsidRPr="0093114B" w:rsidSect="00471552"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A57" w:rsidRDefault="00CA6A57" w:rsidP="007378EE">
      <w:pPr>
        <w:spacing w:after="0" w:line="240" w:lineRule="auto"/>
      </w:pPr>
      <w:r>
        <w:separator/>
      </w:r>
    </w:p>
  </w:endnote>
  <w:endnote w:type="continuationSeparator" w:id="0">
    <w:p w:rsidR="00CA6A57" w:rsidRDefault="00CA6A57" w:rsidP="0073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11110"/>
      <w:docPartObj>
        <w:docPartGallery w:val="Page Numbers (Bottom of Page)"/>
        <w:docPartUnique/>
      </w:docPartObj>
    </w:sdtPr>
    <w:sdtContent>
      <w:p w:rsidR="00136481" w:rsidRDefault="00795D86">
        <w:pPr>
          <w:pStyle w:val="Rodap"/>
          <w:jc w:val="right"/>
        </w:pPr>
        <w:r w:rsidRPr="00361E9F">
          <w:rPr>
            <w:rFonts w:ascii="Times New Roman" w:hAnsi="Times New Roman" w:cs="Times New Roman"/>
          </w:rPr>
          <w:fldChar w:fldCharType="begin"/>
        </w:r>
        <w:r w:rsidR="00136481" w:rsidRPr="00361E9F">
          <w:rPr>
            <w:rFonts w:ascii="Times New Roman" w:hAnsi="Times New Roman" w:cs="Times New Roman"/>
          </w:rPr>
          <w:instrText xml:space="preserve"> PAGE   \* MERGEFORMAT </w:instrText>
        </w:r>
        <w:r w:rsidRPr="00361E9F">
          <w:rPr>
            <w:rFonts w:ascii="Times New Roman" w:hAnsi="Times New Roman" w:cs="Times New Roman"/>
          </w:rPr>
          <w:fldChar w:fldCharType="separate"/>
        </w:r>
        <w:r w:rsidR="006C181C">
          <w:rPr>
            <w:rFonts w:ascii="Times New Roman" w:hAnsi="Times New Roman" w:cs="Times New Roman"/>
            <w:noProof/>
          </w:rPr>
          <w:t>16</w:t>
        </w:r>
        <w:r w:rsidRPr="00361E9F">
          <w:rPr>
            <w:rFonts w:ascii="Times New Roman" w:hAnsi="Times New Roman" w:cs="Times New Roman"/>
          </w:rPr>
          <w:fldChar w:fldCharType="end"/>
        </w:r>
      </w:p>
    </w:sdtContent>
  </w:sdt>
  <w:p w:rsidR="00136481" w:rsidRDefault="001364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A57" w:rsidRDefault="00CA6A57" w:rsidP="007378EE">
      <w:pPr>
        <w:spacing w:after="0" w:line="240" w:lineRule="auto"/>
      </w:pPr>
      <w:r>
        <w:separator/>
      </w:r>
    </w:p>
  </w:footnote>
  <w:footnote w:type="continuationSeparator" w:id="0">
    <w:p w:rsidR="00CA6A57" w:rsidRDefault="00CA6A57" w:rsidP="007378EE">
      <w:pPr>
        <w:spacing w:after="0" w:line="240" w:lineRule="auto"/>
      </w:pPr>
      <w:r>
        <w:continuationSeparator/>
      </w:r>
    </w:p>
  </w:footnote>
  <w:footnote w:id="1">
    <w:p w:rsidR="00136481" w:rsidRPr="003E21AE" w:rsidRDefault="00136481" w:rsidP="008729B3">
      <w:pPr>
        <w:pStyle w:val="Textodenotaderodap"/>
        <w:jc w:val="both"/>
        <w:rPr>
          <w:rFonts w:ascii="Times New Roman" w:hAnsi="Times New Roman" w:cs="Times New Roman"/>
          <w:color w:val="000000" w:themeColor="text1"/>
        </w:rPr>
      </w:pPr>
      <w:r w:rsidRPr="003E21AE">
        <w:rPr>
          <w:rStyle w:val="Refdenotaderodap"/>
          <w:rFonts w:ascii="Times New Roman" w:hAnsi="Times New Roman" w:cs="Times New Roman"/>
          <w:color w:val="000000" w:themeColor="text1"/>
        </w:rPr>
        <w:footnoteRef/>
      </w:r>
      <w:r>
        <w:rPr>
          <w:rFonts w:ascii="Times New Roman" w:hAnsi="Times New Roman" w:cs="Times New Roman"/>
          <w:color w:val="000000" w:themeColor="text1"/>
        </w:rPr>
        <w:t>Segundo dados divulgados pelo Ministério da Agricultura, Pecuária e Abastecimento</w:t>
      </w:r>
      <w:r w:rsidR="00860011">
        <w:rPr>
          <w:rFonts w:ascii="Times New Roman" w:hAnsi="Times New Roman" w:cs="Times New Roman"/>
          <w:color w:val="000000" w:themeColor="text1"/>
        </w:rPr>
        <w:t xml:space="preserve"> – MAPA</w:t>
      </w:r>
      <w:r>
        <w:rPr>
          <w:rFonts w:ascii="Times New Roman" w:hAnsi="Times New Roman" w:cs="Times New Roman"/>
          <w:color w:val="000000" w:themeColor="text1"/>
        </w:rPr>
        <w:t xml:space="preserve"> (Brasil, </w:t>
      </w:r>
      <w:r w:rsidRPr="003E21AE">
        <w:rPr>
          <w:rFonts w:ascii="Times New Roman" w:hAnsi="Times New Roman" w:cs="Times New Roman"/>
          <w:color w:val="000000" w:themeColor="text1"/>
        </w:rPr>
        <w:t>2011</w:t>
      </w:r>
      <w:r>
        <w:rPr>
          <w:rFonts w:ascii="Times New Roman" w:hAnsi="Times New Roman" w:cs="Times New Roman"/>
          <w:color w:val="000000" w:themeColor="text1"/>
        </w:rPr>
        <w:t>a</w:t>
      </w:r>
      <w:r w:rsidRPr="003E21AE">
        <w:rPr>
          <w:rFonts w:ascii="Times New Roman" w:hAnsi="Times New Roman" w:cs="Times New Roman"/>
          <w:color w:val="000000" w:themeColor="text1"/>
        </w:rPr>
        <w:t>), em 2010 o Rio Grande do Sul foi responsável por 14,9% da produção brasileira de soja (68,7 milhões de toneladas), sendo superado apenas pelo Mato Grosso (27%) e Paraná (20%).</w:t>
      </w:r>
    </w:p>
  </w:footnote>
  <w:footnote w:id="2">
    <w:p w:rsidR="00136481" w:rsidRPr="00D52556" w:rsidRDefault="00136481" w:rsidP="008729B3">
      <w:pPr>
        <w:pStyle w:val="Textodenotaderodap"/>
        <w:jc w:val="both"/>
        <w:rPr>
          <w:rFonts w:ascii="Times New Roman" w:hAnsi="Times New Roman" w:cs="Times New Roman"/>
        </w:rPr>
      </w:pPr>
      <w:r w:rsidRPr="00D52556">
        <w:rPr>
          <w:rStyle w:val="Refdenotaderodap"/>
          <w:rFonts w:ascii="Times New Roman" w:hAnsi="Times New Roman" w:cs="Times New Roman"/>
        </w:rPr>
        <w:footnoteRef/>
      </w:r>
      <w:r w:rsidRPr="00D52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 dados do último Censo Agropecuário (IBGE, 2006)</w:t>
      </w:r>
      <w:r w:rsidRPr="00D525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revelaram a existência de 378.546 estabelecimentos rurais familiares no Rio Grande do Sul</w:t>
      </w:r>
      <w:r w:rsidRPr="00D52556">
        <w:rPr>
          <w:rFonts w:ascii="Times New Roman" w:hAnsi="Times New Roman" w:cs="Times New Roman"/>
        </w:rPr>
        <w:t>.</w:t>
      </w:r>
    </w:p>
  </w:footnote>
  <w:footnote w:id="3">
    <w:p w:rsidR="00136481" w:rsidRPr="00CD4816" w:rsidRDefault="00136481" w:rsidP="00CD4816">
      <w:pPr>
        <w:pStyle w:val="Textodenotaderodap"/>
        <w:jc w:val="both"/>
        <w:rPr>
          <w:rFonts w:ascii="Times New Roman" w:hAnsi="Times New Roman" w:cs="Times New Roman"/>
        </w:rPr>
      </w:pPr>
      <w:r w:rsidRPr="00CD4816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O</w:t>
      </w:r>
      <w:r w:rsidRPr="00CD4816">
        <w:rPr>
          <w:rFonts w:ascii="Times New Roman" w:hAnsi="Times New Roman" w:cs="Times New Roman"/>
        </w:rPr>
        <w:t xml:space="preserve"> presidente da Associação dos Produtores de Biodiesel do Brasil – APROBIO, Erasmo </w:t>
      </w:r>
      <w:proofErr w:type="spellStart"/>
      <w:r w:rsidRPr="00CD4816">
        <w:rPr>
          <w:rFonts w:ascii="Times New Roman" w:hAnsi="Times New Roman" w:cs="Times New Roman"/>
        </w:rPr>
        <w:t>Battistella</w:t>
      </w:r>
      <w:proofErr w:type="spellEnd"/>
      <w:r w:rsidRPr="00CD4816">
        <w:rPr>
          <w:rFonts w:ascii="Times New Roman" w:hAnsi="Times New Roman" w:cs="Times New Roman"/>
        </w:rPr>
        <w:t xml:space="preserve">, afirmou </w:t>
      </w:r>
      <w:r>
        <w:rPr>
          <w:rFonts w:ascii="Times New Roman" w:hAnsi="Times New Roman" w:cs="Times New Roman"/>
        </w:rPr>
        <w:t xml:space="preserve">recentemente </w:t>
      </w:r>
      <w:r w:rsidRPr="00CD4816">
        <w:rPr>
          <w:rFonts w:ascii="Times New Roman" w:hAnsi="Times New Roman" w:cs="Times New Roman"/>
        </w:rPr>
        <w:t xml:space="preserve">que o ideal seria aumentar a mistura de biodiesel no óleo diesel em </w:t>
      </w:r>
      <w:proofErr w:type="gramStart"/>
      <w:r w:rsidRPr="00CD4816">
        <w:rPr>
          <w:rFonts w:ascii="Times New Roman" w:hAnsi="Times New Roman" w:cs="Times New Roman"/>
        </w:rPr>
        <w:t>1,5 ponto</w:t>
      </w:r>
      <w:proofErr w:type="gramEnd"/>
      <w:r w:rsidRPr="00CD4816">
        <w:rPr>
          <w:rFonts w:ascii="Times New Roman" w:hAnsi="Times New Roman" w:cs="Times New Roman"/>
        </w:rPr>
        <w:t xml:space="preserve"> percentual por ano. Segundo ele, o setor estaria maduro e em condições de atender um aumento de demanda, pois trabalha com 50% de capacidade ociosa</w:t>
      </w:r>
      <w:r>
        <w:rPr>
          <w:rFonts w:ascii="Times New Roman" w:hAnsi="Times New Roman" w:cs="Times New Roman"/>
        </w:rPr>
        <w:t xml:space="preserve"> (BARBOSA, </w:t>
      </w:r>
      <w:r w:rsidRPr="00CD4816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)</w:t>
      </w:r>
      <w:r w:rsidRPr="00CD4816">
        <w:rPr>
          <w:rFonts w:ascii="Times New Roman" w:hAnsi="Times New Roman" w:cs="Times New Roman"/>
        </w:rPr>
        <w:t xml:space="preserve">.  </w:t>
      </w:r>
    </w:p>
  </w:footnote>
  <w:footnote w:id="4">
    <w:p w:rsidR="00136481" w:rsidRPr="00D4548B" w:rsidRDefault="00136481" w:rsidP="00D4548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548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D4548B">
        <w:rPr>
          <w:rFonts w:ascii="Times New Roman" w:hAnsi="Times New Roman" w:cs="Times New Roman"/>
          <w:sz w:val="20"/>
          <w:szCs w:val="20"/>
        </w:rPr>
        <w:t xml:space="preserve"> O USDA (2011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D4548B">
        <w:rPr>
          <w:rFonts w:ascii="Times New Roman" w:hAnsi="Times New Roman" w:cs="Times New Roman"/>
          <w:sz w:val="20"/>
          <w:szCs w:val="20"/>
        </w:rPr>
        <w:t xml:space="preserve">) espera que o Brasil </w:t>
      </w:r>
      <w:r>
        <w:rPr>
          <w:rFonts w:ascii="Times New Roman" w:hAnsi="Times New Roman" w:cs="Times New Roman"/>
          <w:sz w:val="20"/>
          <w:szCs w:val="20"/>
        </w:rPr>
        <w:t xml:space="preserve">aumente em 65% suas exportações de soja em grão no período 2010/2011 - 2020/2021, atingindo </w:t>
      </w:r>
      <w:r w:rsidRPr="00D4548B">
        <w:rPr>
          <w:rFonts w:ascii="Times New Roman" w:hAnsi="Times New Roman" w:cs="Times New Roman"/>
          <w:sz w:val="20"/>
          <w:szCs w:val="20"/>
        </w:rPr>
        <w:t>49,5 milhões de toneladas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36481" w:rsidRDefault="00136481">
      <w:pPr>
        <w:pStyle w:val="Textodenotaderodap"/>
      </w:pPr>
    </w:p>
  </w:footnote>
  <w:footnote w:id="5">
    <w:p w:rsidR="00136481" w:rsidRPr="00723142" w:rsidRDefault="00136481" w:rsidP="00723142">
      <w:pPr>
        <w:pStyle w:val="Textodenotaderodap"/>
        <w:jc w:val="both"/>
        <w:rPr>
          <w:rFonts w:ascii="Times New Roman" w:hAnsi="Times New Roman" w:cs="Times New Roman"/>
        </w:rPr>
      </w:pPr>
      <w:r w:rsidRPr="00723142">
        <w:rPr>
          <w:rStyle w:val="Refdenotaderodap"/>
          <w:rFonts w:ascii="Times New Roman" w:hAnsi="Times New Roman" w:cs="Times New Roman"/>
        </w:rPr>
        <w:footnoteRef/>
      </w:r>
      <w:r w:rsidRPr="00723142">
        <w:rPr>
          <w:rFonts w:ascii="Times New Roman" w:hAnsi="Times New Roman" w:cs="Times New Roman"/>
        </w:rPr>
        <w:t xml:space="preserve"> As projeções </w:t>
      </w:r>
      <w:r>
        <w:rPr>
          <w:rFonts w:ascii="Times New Roman" w:hAnsi="Times New Roman" w:cs="Times New Roman"/>
        </w:rPr>
        <w:t>do USDA (2011a), divulgadas em dezembro de 2011, apontam que o Brasil será o maior exportador de soja em grão do mundo na safra 2011/2012, superando as exportações americanas da matéria prima em</w:t>
      </w:r>
      <w:r>
        <w:rPr>
          <w:rFonts w:ascii="Times New Roman" w:hAnsi="Times New Roman" w:cs="Times New Roman"/>
          <w:color w:val="FF0000"/>
        </w:rPr>
        <w:t xml:space="preserve"> </w:t>
      </w:r>
      <w:r w:rsidRPr="00723142">
        <w:rPr>
          <w:rFonts w:ascii="Times New Roman" w:hAnsi="Times New Roman" w:cs="Times New Roman"/>
        </w:rPr>
        <w:t>3,1</w:t>
      </w:r>
      <w:r>
        <w:rPr>
          <w:rFonts w:ascii="Times New Roman" w:hAnsi="Times New Roman" w:cs="Times New Roman"/>
        </w:rPr>
        <w:t xml:space="preserve"> milhões de toneladas. </w:t>
      </w:r>
    </w:p>
  </w:footnote>
  <w:footnote w:id="6">
    <w:p w:rsidR="00136481" w:rsidRPr="00764EF1" w:rsidRDefault="00136481" w:rsidP="00764EF1">
      <w:pPr>
        <w:pStyle w:val="Textodenotaderodap"/>
        <w:jc w:val="both"/>
        <w:rPr>
          <w:rFonts w:ascii="Times New Roman" w:hAnsi="Times New Roman" w:cs="Times New Roman"/>
        </w:rPr>
      </w:pPr>
      <w:r w:rsidRPr="00764EF1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Se a projeção</w:t>
      </w:r>
      <w:r w:rsidRPr="00764E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Ministério de Minas e Energia</w:t>
      </w:r>
      <w:r w:rsidRPr="00764EF1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Brasil, </w:t>
      </w:r>
      <w:r w:rsidRPr="00764EF1">
        <w:rPr>
          <w:rFonts w:ascii="Times New Roman" w:hAnsi="Times New Roman" w:cs="Times New Roman"/>
        </w:rPr>
        <w:t>2011</w:t>
      </w:r>
      <w:r>
        <w:rPr>
          <w:rFonts w:ascii="Times New Roman" w:hAnsi="Times New Roman" w:cs="Times New Roman"/>
        </w:rPr>
        <w:t>c) se confirmar</w:t>
      </w:r>
      <w:r w:rsidRPr="00764EF1">
        <w:rPr>
          <w:rFonts w:ascii="Times New Roman" w:hAnsi="Times New Roman" w:cs="Times New Roman"/>
        </w:rPr>
        <w:t xml:space="preserve"> e apenas os investimentos autorizados pela ANP até dezembro de 2011 forem realizados, a indústria </w:t>
      </w:r>
      <w:r>
        <w:rPr>
          <w:rFonts w:ascii="Times New Roman" w:hAnsi="Times New Roman" w:cs="Times New Roman"/>
        </w:rPr>
        <w:t xml:space="preserve">brasileira </w:t>
      </w:r>
      <w:r w:rsidRPr="00764EF1">
        <w:rPr>
          <w:rFonts w:ascii="Times New Roman" w:hAnsi="Times New Roman" w:cs="Times New Roman"/>
        </w:rPr>
        <w:t xml:space="preserve">do biodiesel operaria </w:t>
      </w:r>
      <w:r>
        <w:rPr>
          <w:rFonts w:ascii="Times New Roman" w:hAnsi="Times New Roman" w:cs="Times New Roman"/>
        </w:rPr>
        <w:t xml:space="preserve">com um nível de utilização de </w:t>
      </w:r>
      <w:r w:rsidRPr="00764EF1">
        <w:rPr>
          <w:rFonts w:ascii="Times New Roman" w:hAnsi="Times New Roman" w:cs="Times New Roman"/>
        </w:rPr>
        <w:t>47% da</w:t>
      </w:r>
      <w:r>
        <w:rPr>
          <w:rFonts w:ascii="Times New Roman" w:hAnsi="Times New Roman" w:cs="Times New Roman"/>
        </w:rPr>
        <w:t xml:space="preserve"> sua capacidade</w:t>
      </w:r>
      <w:r w:rsidRPr="00764EF1">
        <w:rPr>
          <w:rFonts w:ascii="Times New Roman" w:hAnsi="Times New Roman" w:cs="Times New Roman"/>
        </w:rPr>
        <w:t xml:space="preserve"> em 2020.</w:t>
      </w:r>
    </w:p>
  </w:footnote>
  <w:footnote w:id="7">
    <w:p w:rsidR="00136481" w:rsidRPr="00972004" w:rsidRDefault="00136481" w:rsidP="00F713F5">
      <w:pPr>
        <w:pStyle w:val="Textodenotaderodap"/>
        <w:jc w:val="both"/>
        <w:rPr>
          <w:rFonts w:ascii="Times New Roman" w:hAnsi="Times New Roman" w:cs="Times New Roman"/>
        </w:rPr>
      </w:pPr>
      <w:r w:rsidRPr="00972004">
        <w:rPr>
          <w:rStyle w:val="Refdenotaderodap"/>
          <w:rFonts w:ascii="Times New Roman" w:hAnsi="Times New Roman" w:cs="Times New Roman"/>
        </w:rPr>
        <w:footnoteRef/>
      </w:r>
      <w:r w:rsidRPr="00972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 2010,</w:t>
      </w:r>
      <w:r w:rsidRPr="00972004">
        <w:rPr>
          <w:rFonts w:ascii="Times New Roman" w:hAnsi="Times New Roman" w:cs="Times New Roman"/>
        </w:rPr>
        <w:t xml:space="preserve"> o Governo Federal lançou o </w:t>
      </w:r>
      <w:r w:rsidRPr="002010AF">
        <w:rPr>
          <w:rFonts w:ascii="Times New Roman" w:hAnsi="Times New Roman" w:cs="Times New Roman"/>
        </w:rPr>
        <w:t>Programa de Produção Sustentável de Palma de Óle</w:t>
      </w:r>
      <w:r>
        <w:rPr>
          <w:rFonts w:ascii="Times New Roman" w:hAnsi="Times New Roman" w:cs="Times New Roman"/>
        </w:rPr>
        <w:t xml:space="preserve">o com vistas a incentivar e disciplinar a produção na região amazônica. Apesar do relativo fracasso anterior, espera-se que a revisão do marco regulatório do PNPB contemple a criação de novos incentivos à </w:t>
      </w:r>
      <w:proofErr w:type="gramStart"/>
      <w:r>
        <w:rPr>
          <w:rFonts w:ascii="Times New Roman" w:hAnsi="Times New Roman" w:cs="Times New Roman"/>
        </w:rPr>
        <w:t>produção de matérias primas alternativas pela agricultura familiar</w:t>
      </w:r>
      <w:proofErr w:type="gramEnd"/>
      <w:r>
        <w:rPr>
          <w:rFonts w:ascii="Times New Roman" w:hAnsi="Times New Roman" w:cs="Times New Roman"/>
        </w:rPr>
        <w:t xml:space="preserve">. </w:t>
      </w:r>
    </w:p>
  </w:footnote>
  <w:footnote w:id="8">
    <w:p w:rsidR="00136481" w:rsidRPr="00D30C21" w:rsidRDefault="00136481">
      <w:pPr>
        <w:pStyle w:val="Textodenotaderodap"/>
        <w:rPr>
          <w:rFonts w:ascii="Times New Roman" w:hAnsi="Times New Roman" w:cs="Times New Roman"/>
        </w:rPr>
      </w:pPr>
      <w:r w:rsidRPr="00D30C21">
        <w:rPr>
          <w:rStyle w:val="Refdenotaderodap"/>
          <w:rFonts w:ascii="Times New Roman" w:hAnsi="Times New Roman" w:cs="Times New Roman"/>
        </w:rPr>
        <w:footnoteRef/>
      </w:r>
      <w:r w:rsidRPr="00D30C21">
        <w:rPr>
          <w:rFonts w:ascii="Times New Roman" w:hAnsi="Times New Roman" w:cs="Times New Roman"/>
        </w:rPr>
        <w:t xml:space="preserve"> ABIOVE (2012).</w:t>
      </w:r>
    </w:p>
  </w:footnote>
  <w:footnote w:id="9">
    <w:p w:rsidR="00136481" w:rsidRPr="002C5D41" w:rsidRDefault="00136481" w:rsidP="002C5D41">
      <w:pPr>
        <w:pStyle w:val="Textodenotaderodap"/>
        <w:jc w:val="both"/>
        <w:rPr>
          <w:rFonts w:ascii="Times New Roman" w:hAnsi="Times New Roman" w:cs="Times New Roman"/>
        </w:rPr>
      </w:pPr>
      <w:r w:rsidRPr="002C5D41">
        <w:rPr>
          <w:rStyle w:val="Refdenotaderodap"/>
          <w:rFonts w:ascii="Times New Roman" w:hAnsi="Times New Roman" w:cs="Times New Roman"/>
        </w:rPr>
        <w:footnoteRef/>
      </w:r>
      <w:r w:rsidRPr="002C5D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Cenário</w:t>
      </w:r>
      <w:r w:rsidRPr="002C5D41">
        <w:rPr>
          <w:rFonts w:ascii="Times New Roman" w:hAnsi="Times New Roman" w:cs="Times New Roman"/>
        </w:rPr>
        <w:t xml:space="preserve"> pouco provável em razão da já referidas desaceleração do consumo de carnes e preferência da China pelo grão.</w:t>
      </w:r>
    </w:p>
  </w:footnote>
  <w:footnote w:id="10">
    <w:p w:rsidR="00982EF0" w:rsidRPr="00982EF0" w:rsidRDefault="00982EF0" w:rsidP="00982EF0">
      <w:pPr>
        <w:pStyle w:val="Textodenotaderodap"/>
        <w:jc w:val="both"/>
        <w:rPr>
          <w:rFonts w:ascii="Times New Roman" w:hAnsi="Times New Roman" w:cs="Times New Roman"/>
        </w:rPr>
      </w:pPr>
      <w:r w:rsidRPr="00982EF0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Os chineses já consumiam o frango produzido no Brasil antes de 2009, porém se utilizavam de operação de triangulação com </w:t>
      </w:r>
      <w:proofErr w:type="spellStart"/>
      <w:r>
        <w:rPr>
          <w:rFonts w:ascii="Times New Roman" w:hAnsi="Times New Roman" w:cs="Times New Roman"/>
        </w:rPr>
        <w:t>Hong</w:t>
      </w:r>
      <w:proofErr w:type="spellEnd"/>
      <w:r>
        <w:rPr>
          <w:rFonts w:ascii="Times New Roman" w:hAnsi="Times New Roman" w:cs="Times New Roman"/>
        </w:rPr>
        <w:t xml:space="preserve"> Kong. Isso encarecia os custos logísticos e diminuía a competitividade do produto brasileiro.</w:t>
      </w:r>
    </w:p>
  </w:footnote>
  <w:footnote w:id="11">
    <w:p w:rsidR="00136481" w:rsidRPr="0012207E" w:rsidRDefault="00136481" w:rsidP="0012207E">
      <w:pPr>
        <w:pStyle w:val="Textodenotaderodap"/>
        <w:jc w:val="both"/>
        <w:rPr>
          <w:rFonts w:ascii="Times New Roman" w:hAnsi="Times New Roman" w:cs="Times New Roman"/>
        </w:rPr>
      </w:pPr>
      <w:r w:rsidRPr="0012207E">
        <w:rPr>
          <w:rStyle w:val="Refdenotaderodap"/>
          <w:rFonts w:ascii="Times New Roman" w:hAnsi="Times New Roman" w:cs="Times New Roman"/>
        </w:rPr>
        <w:footnoteRef/>
      </w:r>
      <w:r w:rsidRPr="0012207E">
        <w:rPr>
          <w:rFonts w:ascii="Times New Roman" w:hAnsi="Times New Roman" w:cs="Times New Roman"/>
        </w:rPr>
        <w:t xml:space="preserve">Os frigoríficos autorizados a exportar carne suína para a China </w:t>
      </w:r>
      <w:r>
        <w:rPr>
          <w:rFonts w:ascii="Times New Roman" w:hAnsi="Times New Roman" w:cs="Times New Roman"/>
        </w:rPr>
        <w:t xml:space="preserve">pertencem às empresas </w:t>
      </w:r>
      <w:proofErr w:type="spellStart"/>
      <w:r>
        <w:rPr>
          <w:rFonts w:ascii="Times New Roman" w:hAnsi="Times New Roman" w:cs="Times New Roman"/>
        </w:rPr>
        <w:t>Marfrig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Itapiranga</w:t>
      </w:r>
      <w:proofErr w:type="spellEnd"/>
      <w:r>
        <w:rPr>
          <w:rFonts w:ascii="Times New Roman" w:hAnsi="Times New Roman" w:cs="Times New Roman"/>
        </w:rPr>
        <w:t xml:space="preserve"> – SC), </w:t>
      </w:r>
      <w:r w:rsidRPr="0012207E">
        <w:rPr>
          <w:rFonts w:ascii="Times New Roman" w:hAnsi="Times New Roman" w:cs="Times New Roman"/>
        </w:rPr>
        <w:t xml:space="preserve">BRF </w:t>
      </w:r>
      <w:r>
        <w:rPr>
          <w:rFonts w:ascii="Times New Roman" w:hAnsi="Times New Roman" w:cs="Times New Roman"/>
        </w:rPr>
        <w:t>(</w:t>
      </w:r>
      <w:r w:rsidRPr="0012207E">
        <w:rPr>
          <w:rFonts w:ascii="Times New Roman" w:hAnsi="Times New Roman" w:cs="Times New Roman"/>
        </w:rPr>
        <w:t>Rio Verde</w:t>
      </w:r>
      <w:r>
        <w:rPr>
          <w:rFonts w:ascii="Times New Roman" w:hAnsi="Times New Roman" w:cs="Times New Roman"/>
        </w:rPr>
        <w:t xml:space="preserve"> – GO) e Aurora</w:t>
      </w:r>
      <w:r w:rsidRPr="001220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(Chapecó – SC</w:t>
      </w:r>
      <w:r w:rsidRPr="0012207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12">
    <w:p w:rsidR="00136481" w:rsidRPr="006000CA" w:rsidRDefault="00136481">
      <w:pPr>
        <w:pStyle w:val="Textodenotaderodap"/>
        <w:rPr>
          <w:rFonts w:ascii="Times New Roman" w:hAnsi="Times New Roman" w:cs="Times New Roman"/>
        </w:rPr>
      </w:pPr>
      <w:r w:rsidRPr="006000CA">
        <w:rPr>
          <w:rStyle w:val="Refdenotaderodap"/>
          <w:rFonts w:ascii="Times New Roman" w:hAnsi="Times New Roman" w:cs="Times New Roman"/>
        </w:rPr>
        <w:footnoteRef/>
      </w:r>
      <w:r w:rsidRPr="006000CA">
        <w:rPr>
          <w:rFonts w:ascii="Times New Roman" w:hAnsi="Times New Roman" w:cs="Times New Roman"/>
        </w:rPr>
        <w:t xml:space="preserve"> USDA (2011</w:t>
      </w:r>
      <w:r>
        <w:rPr>
          <w:rFonts w:ascii="Times New Roman" w:hAnsi="Times New Roman" w:cs="Times New Roman"/>
        </w:rPr>
        <w:t>a</w:t>
      </w:r>
      <w:r w:rsidRPr="006000CA">
        <w:rPr>
          <w:rFonts w:ascii="Times New Roman" w:hAnsi="Times New Roman" w:cs="Times New Roman"/>
        </w:rPr>
        <w:t>).</w:t>
      </w:r>
    </w:p>
  </w:footnote>
  <w:footnote w:id="13">
    <w:p w:rsidR="00136481" w:rsidRPr="004B6512" w:rsidRDefault="00136481" w:rsidP="008E3370">
      <w:pPr>
        <w:pStyle w:val="Textodenotaderodap"/>
        <w:jc w:val="both"/>
        <w:rPr>
          <w:rFonts w:ascii="Times New Roman" w:hAnsi="Times New Roman" w:cs="Times New Roman"/>
        </w:rPr>
      </w:pPr>
      <w:r w:rsidRPr="004B6512">
        <w:rPr>
          <w:rStyle w:val="Refdenotaderodap"/>
          <w:rFonts w:ascii="Times New Roman" w:hAnsi="Times New Roman" w:cs="Times New Roman"/>
        </w:rPr>
        <w:footnoteRef/>
      </w:r>
      <w:r w:rsidRPr="004B6512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 xml:space="preserve"> engenheiro agrônomo Manoel Teixeira Souza Júnior é chefe geral da Embrapa Agroenergia. </w:t>
      </w:r>
    </w:p>
  </w:footnote>
  <w:footnote w:id="14">
    <w:p w:rsidR="00981434" w:rsidRPr="00981434" w:rsidRDefault="00981434" w:rsidP="0093114B">
      <w:pPr>
        <w:pStyle w:val="Textodenotaderodap"/>
        <w:jc w:val="both"/>
        <w:rPr>
          <w:rFonts w:ascii="Times New Roman" w:hAnsi="Times New Roman" w:cs="Times New Roman"/>
        </w:rPr>
      </w:pPr>
      <w:r w:rsidRPr="00981434">
        <w:rPr>
          <w:rStyle w:val="Refdenotaderodap"/>
          <w:rFonts w:ascii="Times New Roman" w:hAnsi="Times New Roman" w:cs="Times New Roman"/>
        </w:rPr>
        <w:footnoteRef/>
      </w:r>
      <w:r w:rsidR="0093114B" w:rsidRPr="0093114B">
        <w:rPr>
          <w:rFonts w:ascii="Times New Roman" w:hAnsi="Times New Roman" w:cs="Times New Roman"/>
        </w:rPr>
        <w:t>A Federação Nacional do Comércio de Combustíveis e de Lubrificantes</w:t>
      </w:r>
      <w:r w:rsidR="0093114B">
        <w:rPr>
          <w:rFonts w:ascii="Times New Roman" w:hAnsi="Times New Roman" w:cs="Times New Roman"/>
        </w:rPr>
        <w:t xml:space="preserve"> alega</w:t>
      </w:r>
      <w:r w:rsidR="0093114B" w:rsidRPr="0093114B">
        <w:rPr>
          <w:rFonts w:ascii="Times New Roman" w:hAnsi="Times New Roman" w:cs="Times New Roman"/>
        </w:rPr>
        <w:t xml:space="preserve"> que a mistura </w:t>
      </w:r>
      <w:r w:rsidR="0093114B">
        <w:rPr>
          <w:rFonts w:ascii="Times New Roman" w:hAnsi="Times New Roman" w:cs="Times New Roman"/>
        </w:rPr>
        <w:t xml:space="preserve">de biodiesel ao óleo diesel </w:t>
      </w:r>
      <w:r w:rsidR="0093114B" w:rsidRPr="0093114B">
        <w:rPr>
          <w:rFonts w:ascii="Times New Roman" w:hAnsi="Times New Roman" w:cs="Times New Roman"/>
        </w:rPr>
        <w:t xml:space="preserve">aumentou o custo operacional dos revendedores. </w:t>
      </w:r>
      <w:r w:rsidR="0093114B">
        <w:rPr>
          <w:rFonts w:ascii="Times New Roman" w:hAnsi="Times New Roman" w:cs="Times New Roman"/>
        </w:rPr>
        <w:t>Segundo a entidade,</w:t>
      </w:r>
      <w:r w:rsidR="0093114B" w:rsidRPr="0093114B">
        <w:rPr>
          <w:rFonts w:ascii="Times New Roman" w:hAnsi="Times New Roman" w:cs="Times New Roman"/>
        </w:rPr>
        <w:t xml:space="preserve"> o óleo vegetal absorve mais umidade, o que exige manutenção constante nos tanques, e que não foi definido um padrão de qualidade</w:t>
      </w:r>
      <w:r w:rsidR="0093114B">
        <w:rPr>
          <w:rFonts w:ascii="Times New Roman" w:hAnsi="Times New Roman" w:cs="Times New Roman"/>
        </w:rPr>
        <w:t xml:space="preserve"> </w:t>
      </w:r>
      <w:r w:rsidR="00AC460A">
        <w:rPr>
          <w:rFonts w:ascii="Times New Roman" w:hAnsi="Times New Roman" w:cs="Times New Roman"/>
        </w:rPr>
        <w:t>(VARGAS, 2011)</w:t>
      </w:r>
      <w:r w:rsidR="0093114B">
        <w:rPr>
          <w:rFonts w:ascii="Times New Roman" w:hAnsi="Times New Roman" w:cs="Times New Roman"/>
        </w:rPr>
        <w:t xml:space="preserve">. A ANP, por sua vez, </w:t>
      </w:r>
      <w:r w:rsidR="00E232FF">
        <w:rPr>
          <w:rFonts w:ascii="Times New Roman" w:hAnsi="Times New Roman" w:cs="Times New Roman"/>
        </w:rPr>
        <w:t>em janeiro</w:t>
      </w:r>
      <w:r w:rsidR="00AC460A">
        <w:rPr>
          <w:rFonts w:ascii="Times New Roman" w:hAnsi="Times New Roman" w:cs="Times New Roman"/>
        </w:rPr>
        <w:t xml:space="preserve"> de 2012, </w:t>
      </w:r>
      <w:r w:rsidR="0093114B">
        <w:rPr>
          <w:rFonts w:ascii="Times New Roman" w:hAnsi="Times New Roman" w:cs="Times New Roman"/>
        </w:rPr>
        <w:t xml:space="preserve">abriu consulta pública para discutir proposta de aprimoramento da qualidade do biodiesel. </w:t>
      </w:r>
    </w:p>
  </w:footnote>
  <w:footnote w:id="15">
    <w:p w:rsidR="00136481" w:rsidRPr="008137EC" w:rsidRDefault="00136481" w:rsidP="008E3370">
      <w:pPr>
        <w:pStyle w:val="Textodenotaderodap"/>
        <w:jc w:val="both"/>
        <w:rPr>
          <w:rFonts w:ascii="Times New Roman" w:hAnsi="Times New Roman" w:cs="Times New Roman"/>
        </w:rPr>
      </w:pPr>
      <w:r w:rsidRPr="008137EC">
        <w:rPr>
          <w:rStyle w:val="Refdenotaderodap"/>
          <w:rFonts w:ascii="Times New Roman" w:hAnsi="Times New Roman" w:cs="Times New Roman"/>
        </w:rPr>
        <w:footnoteRef/>
      </w:r>
      <w:r w:rsidRPr="008137EC">
        <w:rPr>
          <w:rFonts w:ascii="Times New Roman" w:hAnsi="Times New Roman" w:cs="Times New Roman"/>
        </w:rPr>
        <w:t xml:space="preserve"> Segundo</w:t>
      </w:r>
      <w:r>
        <w:rPr>
          <w:rFonts w:ascii="Times New Roman" w:hAnsi="Times New Roman" w:cs="Times New Roman"/>
        </w:rPr>
        <w:t xml:space="preserve"> dados da ANP (2011c e </w:t>
      </w:r>
      <w:proofErr w:type="gramStart"/>
      <w:r>
        <w:rPr>
          <w:rFonts w:ascii="Times New Roman" w:hAnsi="Times New Roman" w:cs="Times New Roman"/>
        </w:rPr>
        <w:t>2011d</w:t>
      </w:r>
      <w:proofErr w:type="gramEnd"/>
      <w:r>
        <w:rPr>
          <w:rFonts w:ascii="Times New Roman" w:hAnsi="Times New Roman" w:cs="Times New Roman"/>
        </w:rPr>
        <w:t xml:space="preserve">), em dezembro de 2011 o preço médio de venda do óleo diesel no produtor foi 42% menor que o preço médio do biodiesel comercializado no 23º leilão da ANP (considerando PIS/COFINS e CIDE e sem ICMS).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6221"/>
    <w:multiLevelType w:val="hybridMultilevel"/>
    <w:tmpl w:val="04744854"/>
    <w:lvl w:ilvl="0" w:tplc="630C2E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04B6D"/>
    <w:multiLevelType w:val="hybridMultilevel"/>
    <w:tmpl w:val="B866D81C"/>
    <w:lvl w:ilvl="0" w:tplc="C5108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6954C1"/>
    <w:multiLevelType w:val="hybridMultilevel"/>
    <w:tmpl w:val="0BA878F2"/>
    <w:lvl w:ilvl="0" w:tplc="3D321C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5252A"/>
    <w:multiLevelType w:val="multilevel"/>
    <w:tmpl w:val="DB7E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61CED"/>
    <w:multiLevelType w:val="hybridMultilevel"/>
    <w:tmpl w:val="241490CC"/>
    <w:lvl w:ilvl="0" w:tplc="C5108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12614"/>
    <w:multiLevelType w:val="hybridMultilevel"/>
    <w:tmpl w:val="2D4893CC"/>
    <w:lvl w:ilvl="0" w:tplc="C5108BD0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16E1C"/>
    <w:multiLevelType w:val="hybridMultilevel"/>
    <w:tmpl w:val="CC28D7B2"/>
    <w:lvl w:ilvl="0" w:tplc="46CA41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B24"/>
    <w:rsid w:val="000009EC"/>
    <w:rsid w:val="00001798"/>
    <w:rsid w:val="00005017"/>
    <w:rsid w:val="00005C7E"/>
    <w:rsid w:val="00007764"/>
    <w:rsid w:val="0001059F"/>
    <w:rsid w:val="00010B00"/>
    <w:rsid w:val="00011F6F"/>
    <w:rsid w:val="000135C8"/>
    <w:rsid w:val="00015B88"/>
    <w:rsid w:val="0001694C"/>
    <w:rsid w:val="00020DF0"/>
    <w:rsid w:val="00027488"/>
    <w:rsid w:val="00032F7A"/>
    <w:rsid w:val="0003368F"/>
    <w:rsid w:val="00034DA3"/>
    <w:rsid w:val="00042AEA"/>
    <w:rsid w:val="000444F4"/>
    <w:rsid w:val="00047C50"/>
    <w:rsid w:val="00052329"/>
    <w:rsid w:val="00053D4E"/>
    <w:rsid w:val="00056E35"/>
    <w:rsid w:val="00057958"/>
    <w:rsid w:val="00063253"/>
    <w:rsid w:val="00064157"/>
    <w:rsid w:val="00064650"/>
    <w:rsid w:val="0007451E"/>
    <w:rsid w:val="00077773"/>
    <w:rsid w:val="00082870"/>
    <w:rsid w:val="00082DFF"/>
    <w:rsid w:val="000831C6"/>
    <w:rsid w:val="00083A69"/>
    <w:rsid w:val="00086952"/>
    <w:rsid w:val="00087B0B"/>
    <w:rsid w:val="000925F6"/>
    <w:rsid w:val="0009322C"/>
    <w:rsid w:val="00095447"/>
    <w:rsid w:val="0009668A"/>
    <w:rsid w:val="000A06BE"/>
    <w:rsid w:val="000A27E0"/>
    <w:rsid w:val="000A72BD"/>
    <w:rsid w:val="000A7B84"/>
    <w:rsid w:val="000B147E"/>
    <w:rsid w:val="000B25F5"/>
    <w:rsid w:val="000B5B64"/>
    <w:rsid w:val="000C2BEF"/>
    <w:rsid w:val="000C2CED"/>
    <w:rsid w:val="000D04F7"/>
    <w:rsid w:val="000D4F33"/>
    <w:rsid w:val="000E0DA9"/>
    <w:rsid w:val="000E4FA1"/>
    <w:rsid w:val="000E5AD2"/>
    <w:rsid w:val="000E7633"/>
    <w:rsid w:val="000F1490"/>
    <w:rsid w:val="000F5E8A"/>
    <w:rsid w:val="001016B1"/>
    <w:rsid w:val="00117980"/>
    <w:rsid w:val="0012207E"/>
    <w:rsid w:val="00124B5B"/>
    <w:rsid w:val="001254F3"/>
    <w:rsid w:val="00130029"/>
    <w:rsid w:val="001302D0"/>
    <w:rsid w:val="00130F9D"/>
    <w:rsid w:val="00131885"/>
    <w:rsid w:val="00132144"/>
    <w:rsid w:val="00136481"/>
    <w:rsid w:val="00142B5C"/>
    <w:rsid w:val="001451A8"/>
    <w:rsid w:val="0014708E"/>
    <w:rsid w:val="00147B2E"/>
    <w:rsid w:val="001602FC"/>
    <w:rsid w:val="001619C6"/>
    <w:rsid w:val="00167077"/>
    <w:rsid w:val="001672CE"/>
    <w:rsid w:val="001709E8"/>
    <w:rsid w:val="00170CFE"/>
    <w:rsid w:val="00171D12"/>
    <w:rsid w:val="001728A2"/>
    <w:rsid w:val="00175CA8"/>
    <w:rsid w:val="00175D54"/>
    <w:rsid w:val="001833E5"/>
    <w:rsid w:val="00184410"/>
    <w:rsid w:val="0019496A"/>
    <w:rsid w:val="001976DF"/>
    <w:rsid w:val="001978B1"/>
    <w:rsid w:val="001A06BA"/>
    <w:rsid w:val="001A1E7C"/>
    <w:rsid w:val="001A2928"/>
    <w:rsid w:val="001B077D"/>
    <w:rsid w:val="001B12E5"/>
    <w:rsid w:val="001B23B7"/>
    <w:rsid w:val="001B4F9B"/>
    <w:rsid w:val="001B77CA"/>
    <w:rsid w:val="001C5B19"/>
    <w:rsid w:val="001D66DD"/>
    <w:rsid w:val="001D6B6A"/>
    <w:rsid w:val="001E6338"/>
    <w:rsid w:val="001F07D9"/>
    <w:rsid w:val="001F3C46"/>
    <w:rsid w:val="001F3E09"/>
    <w:rsid w:val="001F4046"/>
    <w:rsid w:val="001F7E44"/>
    <w:rsid w:val="002002F8"/>
    <w:rsid w:val="002010AF"/>
    <w:rsid w:val="002104F2"/>
    <w:rsid w:val="0021167D"/>
    <w:rsid w:val="00212C89"/>
    <w:rsid w:val="00212CE1"/>
    <w:rsid w:val="00215953"/>
    <w:rsid w:val="00215B78"/>
    <w:rsid w:val="002175DA"/>
    <w:rsid w:val="00217885"/>
    <w:rsid w:val="00222081"/>
    <w:rsid w:val="002235EE"/>
    <w:rsid w:val="002255B3"/>
    <w:rsid w:val="00226635"/>
    <w:rsid w:val="00227939"/>
    <w:rsid w:val="002335CB"/>
    <w:rsid w:val="00235EE2"/>
    <w:rsid w:val="002362BB"/>
    <w:rsid w:val="00243C31"/>
    <w:rsid w:val="00244444"/>
    <w:rsid w:val="00246FCC"/>
    <w:rsid w:val="0025064D"/>
    <w:rsid w:val="0025795B"/>
    <w:rsid w:val="00262DC9"/>
    <w:rsid w:val="0026642D"/>
    <w:rsid w:val="0026761D"/>
    <w:rsid w:val="00271A1A"/>
    <w:rsid w:val="002724F8"/>
    <w:rsid w:val="00272F51"/>
    <w:rsid w:val="00281238"/>
    <w:rsid w:val="002824AE"/>
    <w:rsid w:val="0028259C"/>
    <w:rsid w:val="00283EE7"/>
    <w:rsid w:val="00284EA5"/>
    <w:rsid w:val="0028659D"/>
    <w:rsid w:val="00290F1E"/>
    <w:rsid w:val="002935EC"/>
    <w:rsid w:val="00297469"/>
    <w:rsid w:val="002A10A4"/>
    <w:rsid w:val="002A131C"/>
    <w:rsid w:val="002A1AE6"/>
    <w:rsid w:val="002A6807"/>
    <w:rsid w:val="002A70AB"/>
    <w:rsid w:val="002A7365"/>
    <w:rsid w:val="002A745D"/>
    <w:rsid w:val="002B0417"/>
    <w:rsid w:val="002B2F71"/>
    <w:rsid w:val="002B69A0"/>
    <w:rsid w:val="002B7677"/>
    <w:rsid w:val="002C17AA"/>
    <w:rsid w:val="002C3A78"/>
    <w:rsid w:val="002C3B39"/>
    <w:rsid w:val="002C5617"/>
    <w:rsid w:val="002C5D41"/>
    <w:rsid w:val="002D3051"/>
    <w:rsid w:val="002D5B76"/>
    <w:rsid w:val="002D61BB"/>
    <w:rsid w:val="002E1483"/>
    <w:rsid w:val="002E60B2"/>
    <w:rsid w:val="002E6C8D"/>
    <w:rsid w:val="002E7393"/>
    <w:rsid w:val="002F0C55"/>
    <w:rsid w:val="002F0E58"/>
    <w:rsid w:val="002F3E1E"/>
    <w:rsid w:val="002F69EE"/>
    <w:rsid w:val="00301D72"/>
    <w:rsid w:val="00305A0B"/>
    <w:rsid w:val="003067D1"/>
    <w:rsid w:val="00311FCB"/>
    <w:rsid w:val="00312C0C"/>
    <w:rsid w:val="00314365"/>
    <w:rsid w:val="0031613D"/>
    <w:rsid w:val="00316A78"/>
    <w:rsid w:val="00334A60"/>
    <w:rsid w:val="00334CB3"/>
    <w:rsid w:val="00336F9B"/>
    <w:rsid w:val="0033786A"/>
    <w:rsid w:val="0034108F"/>
    <w:rsid w:val="00342D7B"/>
    <w:rsid w:val="00343224"/>
    <w:rsid w:val="0034386F"/>
    <w:rsid w:val="00344262"/>
    <w:rsid w:val="003473C0"/>
    <w:rsid w:val="00354431"/>
    <w:rsid w:val="003549DF"/>
    <w:rsid w:val="00355D27"/>
    <w:rsid w:val="00356E79"/>
    <w:rsid w:val="00361E9F"/>
    <w:rsid w:val="00363186"/>
    <w:rsid w:val="0036581E"/>
    <w:rsid w:val="00366FC4"/>
    <w:rsid w:val="00367C9B"/>
    <w:rsid w:val="0037023B"/>
    <w:rsid w:val="0037057A"/>
    <w:rsid w:val="00371170"/>
    <w:rsid w:val="00372071"/>
    <w:rsid w:val="00372458"/>
    <w:rsid w:val="00372996"/>
    <w:rsid w:val="00373B0F"/>
    <w:rsid w:val="003775ED"/>
    <w:rsid w:val="00387475"/>
    <w:rsid w:val="003953AB"/>
    <w:rsid w:val="00397618"/>
    <w:rsid w:val="003A070B"/>
    <w:rsid w:val="003A0BBA"/>
    <w:rsid w:val="003A0F8E"/>
    <w:rsid w:val="003A2487"/>
    <w:rsid w:val="003A3936"/>
    <w:rsid w:val="003A3A62"/>
    <w:rsid w:val="003A43A4"/>
    <w:rsid w:val="003A5A51"/>
    <w:rsid w:val="003B342A"/>
    <w:rsid w:val="003B3A83"/>
    <w:rsid w:val="003B66F5"/>
    <w:rsid w:val="003C1217"/>
    <w:rsid w:val="003C1493"/>
    <w:rsid w:val="003C259B"/>
    <w:rsid w:val="003C34CD"/>
    <w:rsid w:val="003C5307"/>
    <w:rsid w:val="003C7799"/>
    <w:rsid w:val="003D0B06"/>
    <w:rsid w:val="003D43E4"/>
    <w:rsid w:val="003D4AEB"/>
    <w:rsid w:val="003E21AE"/>
    <w:rsid w:val="003E5DEF"/>
    <w:rsid w:val="003F1F17"/>
    <w:rsid w:val="003F6CC9"/>
    <w:rsid w:val="003F7987"/>
    <w:rsid w:val="004001B3"/>
    <w:rsid w:val="004028BF"/>
    <w:rsid w:val="004037A8"/>
    <w:rsid w:val="00405936"/>
    <w:rsid w:val="004135BA"/>
    <w:rsid w:val="00413B0C"/>
    <w:rsid w:val="00415183"/>
    <w:rsid w:val="00417301"/>
    <w:rsid w:val="004208B3"/>
    <w:rsid w:val="00421B00"/>
    <w:rsid w:val="00423C3B"/>
    <w:rsid w:val="00425AD9"/>
    <w:rsid w:val="00426564"/>
    <w:rsid w:val="00430AC9"/>
    <w:rsid w:val="004403DB"/>
    <w:rsid w:val="004423ED"/>
    <w:rsid w:val="00443648"/>
    <w:rsid w:val="00451A61"/>
    <w:rsid w:val="00452908"/>
    <w:rsid w:val="0045377A"/>
    <w:rsid w:val="00455BE7"/>
    <w:rsid w:val="00456F44"/>
    <w:rsid w:val="00460FB5"/>
    <w:rsid w:val="00471552"/>
    <w:rsid w:val="00473F76"/>
    <w:rsid w:val="004749B5"/>
    <w:rsid w:val="004759EC"/>
    <w:rsid w:val="00477EB1"/>
    <w:rsid w:val="00481000"/>
    <w:rsid w:val="0048166F"/>
    <w:rsid w:val="00484426"/>
    <w:rsid w:val="00486E07"/>
    <w:rsid w:val="00486F46"/>
    <w:rsid w:val="00487BA0"/>
    <w:rsid w:val="00490DC4"/>
    <w:rsid w:val="00493021"/>
    <w:rsid w:val="00493387"/>
    <w:rsid w:val="0049493D"/>
    <w:rsid w:val="004A118D"/>
    <w:rsid w:val="004A2610"/>
    <w:rsid w:val="004A343F"/>
    <w:rsid w:val="004B208E"/>
    <w:rsid w:val="004B58C5"/>
    <w:rsid w:val="004B5CDB"/>
    <w:rsid w:val="004B6512"/>
    <w:rsid w:val="004B7E4B"/>
    <w:rsid w:val="004C11E6"/>
    <w:rsid w:val="004C2CAB"/>
    <w:rsid w:val="004C7E2D"/>
    <w:rsid w:val="004D0934"/>
    <w:rsid w:val="004D3F57"/>
    <w:rsid w:val="004E20AC"/>
    <w:rsid w:val="004E2EFA"/>
    <w:rsid w:val="004E7704"/>
    <w:rsid w:val="004F341A"/>
    <w:rsid w:val="004F68A8"/>
    <w:rsid w:val="004F7F8C"/>
    <w:rsid w:val="00501399"/>
    <w:rsid w:val="00503E39"/>
    <w:rsid w:val="005130D5"/>
    <w:rsid w:val="005140D3"/>
    <w:rsid w:val="005174A9"/>
    <w:rsid w:val="00523138"/>
    <w:rsid w:val="00523EE7"/>
    <w:rsid w:val="00524425"/>
    <w:rsid w:val="005248B5"/>
    <w:rsid w:val="00524F4D"/>
    <w:rsid w:val="00525571"/>
    <w:rsid w:val="00531F9C"/>
    <w:rsid w:val="00533598"/>
    <w:rsid w:val="00533ED4"/>
    <w:rsid w:val="00545A81"/>
    <w:rsid w:val="00553926"/>
    <w:rsid w:val="00554831"/>
    <w:rsid w:val="005563EE"/>
    <w:rsid w:val="0055738C"/>
    <w:rsid w:val="00564775"/>
    <w:rsid w:val="00564DC3"/>
    <w:rsid w:val="005706C4"/>
    <w:rsid w:val="005731BB"/>
    <w:rsid w:val="00574218"/>
    <w:rsid w:val="00575026"/>
    <w:rsid w:val="00581284"/>
    <w:rsid w:val="00584BC6"/>
    <w:rsid w:val="0058512A"/>
    <w:rsid w:val="0058631E"/>
    <w:rsid w:val="00595823"/>
    <w:rsid w:val="00596DC5"/>
    <w:rsid w:val="005A05C6"/>
    <w:rsid w:val="005A118E"/>
    <w:rsid w:val="005A3439"/>
    <w:rsid w:val="005A47BF"/>
    <w:rsid w:val="005A64E3"/>
    <w:rsid w:val="005A6F7D"/>
    <w:rsid w:val="005A79DE"/>
    <w:rsid w:val="005B78C6"/>
    <w:rsid w:val="005C578C"/>
    <w:rsid w:val="005C6B99"/>
    <w:rsid w:val="005E3DA8"/>
    <w:rsid w:val="005E7D2E"/>
    <w:rsid w:val="005F21B9"/>
    <w:rsid w:val="005F4311"/>
    <w:rsid w:val="006000CA"/>
    <w:rsid w:val="006019C9"/>
    <w:rsid w:val="006039C4"/>
    <w:rsid w:val="0060652F"/>
    <w:rsid w:val="00606BCC"/>
    <w:rsid w:val="00607B91"/>
    <w:rsid w:val="00607D40"/>
    <w:rsid w:val="006166CB"/>
    <w:rsid w:val="00621983"/>
    <w:rsid w:val="00621D4D"/>
    <w:rsid w:val="00635B3E"/>
    <w:rsid w:val="0063768A"/>
    <w:rsid w:val="006378F4"/>
    <w:rsid w:val="0064476C"/>
    <w:rsid w:val="00647324"/>
    <w:rsid w:val="006518EE"/>
    <w:rsid w:val="006521F9"/>
    <w:rsid w:val="00654565"/>
    <w:rsid w:val="00660E44"/>
    <w:rsid w:val="00661543"/>
    <w:rsid w:val="00671677"/>
    <w:rsid w:val="0067411E"/>
    <w:rsid w:val="006866DF"/>
    <w:rsid w:val="0069201B"/>
    <w:rsid w:val="00692E07"/>
    <w:rsid w:val="00694155"/>
    <w:rsid w:val="00694E1C"/>
    <w:rsid w:val="00696EEF"/>
    <w:rsid w:val="006A3CD8"/>
    <w:rsid w:val="006A65F4"/>
    <w:rsid w:val="006B36CD"/>
    <w:rsid w:val="006B49CC"/>
    <w:rsid w:val="006C181C"/>
    <w:rsid w:val="006C208E"/>
    <w:rsid w:val="006C40BF"/>
    <w:rsid w:val="006C6D5F"/>
    <w:rsid w:val="006C7323"/>
    <w:rsid w:val="006D2AF4"/>
    <w:rsid w:val="006D45D3"/>
    <w:rsid w:val="006D4FFC"/>
    <w:rsid w:val="006D5A97"/>
    <w:rsid w:val="006D6A9B"/>
    <w:rsid w:val="006E1065"/>
    <w:rsid w:val="006E12DC"/>
    <w:rsid w:val="006E62B0"/>
    <w:rsid w:val="006E7362"/>
    <w:rsid w:val="006F083F"/>
    <w:rsid w:val="006F7482"/>
    <w:rsid w:val="007028B3"/>
    <w:rsid w:val="00706E7F"/>
    <w:rsid w:val="007142A9"/>
    <w:rsid w:val="00716930"/>
    <w:rsid w:val="00717AE8"/>
    <w:rsid w:val="00717F69"/>
    <w:rsid w:val="00721116"/>
    <w:rsid w:val="007227FD"/>
    <w:rsid w:val="00723142"/>
    <w:rsid w:val="00724F98"/>
    <w:rsid w:val="0073404F"/>
    <w:rsid w:val="00736F20"/>
    <w:rsid w:val="00737333"/>
    <w:rsid w:val="007378EE"/>
    <w:rsid w:val="00743545"/>
    <w:rsid w:val="007512FE"/>
    <w:rsid w:val="00752A1A"/>
    <w:rsid w:val="007530EA"/>
    <w:rsid w:val="00756B41"/>
    <w:rsid w:val="00763CC4"/>
    <w:rsid w:val="00764D9D"/>
    <w:rsid w:val="00764EF1"/>
    <w:rsid w:val="00766B34"/>
    <w:rsid w:val="007712C6"/>
    <w:rsid w:val="007756B4"/>
    <w:rsid w:val="00777EF0"/>
    <w:rsid w:val="00780E2A"/>
    <w:rsid w:val="00781EBE"/>
    <w:rsid w:val="007839C4"/>
    <w:rsid w:val="00783CDD"/>
    <w:rsid w:val="00790AE7"/>
    <w:rsid w:val="007950C1"/>
    <w:rsid w:val="00795D86"/>
    <w:rsid w:val="007966C3"/>
    <w:rsid w:val="00796B3C"/>
    <w:rsid w:val="007A5C55"/>
    <w:rsid w:val="007A7E82"/>
    <w:rsid w:val="007B303E"/>
    <w:rsid w:val="007C2E94"/>
    <w:rsid w:val="007C35F4"/>
    <w:rsid w:val="007C67B9"/>
    <w:rsid w:val="007D208C"/>
    <w:rsid w:val="007D2BBA"/>
    <w:rsid w:val="007D6B4D"/>
    <w:rsid w:val="007E108D"/>
    <w:rsid w:val="007E1882"/>
    <w:rsid w:val="007E1DFD"/>
    <w:rsid w:val="007E444A"/>
    <w:rsid w:val="007F0205"/>
    <w:rsid w:val="00800B55"/>
    <w:rsid w:val="008029B5"/>
    <w:rsid w:val="00803101"/>
    <w:rsid w:val="0080453B"/>
    <w:rsid w:val="008050A9"/>
    <w:rsid w:val="008058CA"/>
    <w:rsid w:val="008137EC"/>
    <w:rsid w:val="00813C5A"/>
    <w:rsid w:val="00820680"/>
    <w:rsid w:val="00820732"/>
    <w:rsid w:val="008213AC"/>
    <w:rsid w:val="00822FF3"/>
    <w:rsid w:val="00823B82"/>
    <w:rsid w:val="00824732"/>
    <w:rsid w:val="0083125D"/>
    <w:rsid w:val="0083213E"/>
    <w:rsid w:val="00833A21"/>
    <w:rsid w:val="00835544"/>
    <w:rsid w:val="00836DBA"/>
    <w:rsid w:val="008413B4"/>
    <w:rsid w:val="00841A55"/>
    <w:rsid w:val="00843692"/>
    <w:rsid w:val="008457F4"/>
    <w:rsid w:val="00846971"/>
    <w:rsid w:val="00847589"/>
    <w:rsid w:val="0084758D"/>
    <w:rsid w:val="00847C9F"/>
    <w:rsid w:val="00853DBB"/>
    <w:rsid w:val="00860011"/>
    <w:rsid w:val="0086031D"/>
    <w:rsid w:val="00867010"/>
    <w:rsid w:val="00870326"/>
    <w:rsid w:val="008729B3"/>
    <w:rsid w:val="008737D5"/>
    <w:rsid w:val="00874F81"/>
    <w:rsid w:val="00876BB6"/>
    <w:rsid w:val="00884CE4"/>
    <w:rsid w:val="00885F39"/>
    <w:rsid w:val="00887B11"/>
    <w:rsid w:val="00896857"/>
    <w:rsid w:val="00897639"/>
    <w:rsid w:val="008976FE"/>
    <w:rsid w:val="008A2CE7"/>
    <w:rsid w:val="008B4219"/>
    <w:rsid w:val="008B5151"/>
    <w:rsid w:val="008C1622"/>
    <w:rsid w:val="008C6069"/>
    <w:rsid w:val="008C71DF"/>
    <w:rsid w:val="008D098F"/>
    <w:rsid w:val="008D1D0D"/>
    <w:rsid w:val="008D544F"/>
    <w:rsid w:val="008D7A65"/>
    <w:rsid w:val="008D7BBD"/>
    <w:rsid w:val="008E1016"/>
    <w:rsid w:val="008E3370"/>
    <w:rsid w:val="008E5802"/>
    <w:rsid w:val="008E5A6A"/>
    <w:rsid w:val="008E5B3B"/>
    <w:rsid w:val="008E5C91"/>
    <w:rsid w:val="008E6C07"/>
    <w:rsid w:val="008F142E"/>
    <w:rsid w:val="008F49E3"/>
    <w:rsid w:val="008F651F"/>
    <w:rsid w:val="008F671D"/>
    <w:rsid w:val="008F79FC"/>
    <w:rsid w:val="009010E4"/>
    <w:rsid w:val="00901207"/>
    <w:rsid w:val="0090171C"/>
    <w:rsid w:val="00903A88"/>
    <w:rsid w:val="0091220F"/>
    <w:rsid w:val="009122D8"/>
    <w:rsid w:val="009230C5"/>
    <w:rsid w:val="00923BF6"/>
    <w:rsid w:val="0092465F"/>
    <w:rsid w:val="0093114B"/>
    <w:rsid w:val="00931686"/>
    <w:rsid w:val="00932F2B"/>
    <w:rsid w:val="009337C6"/>
    <w:rsid w:val="009361C7"/>
    <w:rsid w:val="0093684B"/>
    <w:rsid w:val="00936E53"/>
    <w:rsid w:val="009405B6"/>
    <w:rsid w:val="00941D37"/>
    <w:rsid w:val="00945E0F"/>
    <w:rsid w:val="00945ED7"/>
    <w:rsid w:val="00947FD6"/>
    <w:rsid w:val="00951590"/>
    <w:rsid w:val="00954529"/>
    <w:rsid w:val="00954807"/>
    <w:rsid w:val="009553A2"/>
    <w:rsid w:val="0095583B"/>
    <w:rsid w:val="00960339"/>
    <w:rsid w:val="009619DE"/>
    <w:rsid w:val="009639B3"/>
    <w:rsid w:val="00971147"/>
    <w:rsid w:val="009719D6"/>
    <w:rsid w:val="00972004"/>
    <w:rsid w:val="009723AB"/>
    <w:rsid w:val="00972F5F"/>
    <w:rsid w:val="009739C0"/>
    <w:rsid w:val="009813F6"/>
    <w:rsid w:val="00981434"/>
    <w:rsid w:val="009819DF"/>
    <w:rsid w:val="00982EF0"/>
    <w:rsid w:val="00983B6F"/>
    <w:rsid w:val="00985691"/>
    <w:rsid w:val="00985EAF"/>
    <w:rsid w:val="009902AD"/>
    <w:rsid w:val="009922FA"/>
    <w:rsid w:val="00994DED"/>
    <w:rsid w:val="0099667C"/>
    <w:rsid w:val="00996937"/>
    <w:rsid w:val="009A1D30"/>
    <w:rsid w:val="009A456A"/>
    <w:rsid w:val="009A4ADB"/>
    <w:rsid w:val="009A6DFB"/>
    <w:rsid w:val="009B35D4"/>
    <w:rsid w:val="009B4F47"/>
    <w:rsid w:val="009B526A"/>
    <w:rsid w:val="009B5C15"/>
    <w:rsid w:val="009C04B7"/>
    <w:rsid w:val="009D1D36"/>
    <w:rsid w:val="009D2339"/>
    <w:rsid w:val="009D3E44"/>
    <w:rsid w:val="009E092E"/>
    <w:rsid w:val="009E207D"/>
    <w:rsid w:val="009E28B9"/>
    <w:rsid w:val="009E36EC"/>
    <w:rsid w:val="009E3EE2"/>
    <w:rsid w:val="009E550B"/>
    <w:rsid w:val="009E741B"/>
    <w:rsid w:val="009F2C6B"/>
    <w:rsid w:val="009F2EA5"/>
    <w:rsid w:val="009F5853"/>
    <w:rsid w:val="00A002CE"/>
    <w:rsid w:val="00A00620"/>
    <w:rsid w:val="00A0104A"/>
    <w:rsid w:val="00A01401"/>
    <w:rsid w:val="00A02097"/>
    <w:rsid w:val="00A022D0"/>
    <w:rsid w:val="00A074B7"/>
    <w:rsid w:val="00A10552"/>
    <w:rsid w:val="00A11389"/>
    <w:rsid w:val="00A133B7"/>
    <w:rsid w:val="00A17ED3"/>
    <w:rsid w:val="00A20DFA"/>
    <w:rsid w:val="00A20E51"/>
    <w:rsid w:val="00A2172F"/>
    <w:rsid w:val="00A224DC"/>
    <w:rsid w:val="00A22765"/>
    <w:rsid w:val="00A24095"/>
    <w:rsid w:val="00A27DFB"/>
    <w:rsid w:val="00A30BB7"/>
    <w:rsid w:val="00A31A61"/>
    <w:rsid w:val="00A37CE8"/>
    <w:rsid w:val="00A41520"/>
    <w:rsid w:val="00A44E44"/>
    <w:rsid w:val="00A45430"/>
    <w:rsid w:val="00A45DC5"/>
    <w:rsid w:val="00A46365"/>
    <w:rsid w:val="00A465ED"/>
    <w:rsid w:val="00A47007"/>
    <w:rsid w:val="00A47C8E"/>
    <w:rsid w:val="00A500AB"/>
    <w:rsid w:val="00A529E5"/>
    <w:rsid w:val="00A55A86"/>
    <w:rsid w:val="00A56834"/>
    <w:rsid w:val="00A64FC6"/>
    <w:rsid w:val="00A65D12"/>
    <w:rsid w:val="00A65E85"/>
    <w:rsid w:val="00A65F05"/>
    <w:rsid w:val="00A70A0A"/>
    <w:rsid w:val="00A74254"/>
    <w:rsid w:val="00A7562E"/>
    <w:rsid w:val="00A762DD"/>
    <w:rsid w:val="00A77514"/>
    <w:rsid w:val="00A82CDA"/>
    <w:rsid w:val="00A83130"/>
    <w:rsid w:val="00A85419"/>
    <w:rsid w:val="00A95924"/>
    <w:rsid w:val="00AA0989"/>
    <w:rsid w:val="00AA0CD6"/>
    <w:rsid w:val="00AA680C"/>
    <w:rsid w:val="00AA783F"/>
    <w:rsid w:val="00AB201F"/>
    <w:rsid w:val="00AB2BF0"/>
    <w:rsid w:val="00AB6D73"/>
    <w:rsid w:val="00AC24E4"/>
    <w:rsid w:val="00AC38D0"/>
    <w:rsid w:val="00AC3D2F"/>
    <w:rsid w:val="00AC460A"/>
    <w:rsid w:val="00AD0521"/>
    <w:rsid w:val="00AD41FB"/>
    <w:rsid w:val="00AD539A"/>
    <w:rsid w:val="00AD5CE0"/>
    <w:rsid w:val="00AE16A7"/>
    <w:rsid w:val="00AE19C5"/>
    <w:rsid w:val="00AE248D"/>
    <w:rsid w:val="00AE43E9"/>
    <w:rsid w:val="00AE4AB3"/>
    <w:rsid w:val="00AE61DD"/>
    <w:rsid w:val="00AE716D"/>
    <w:rsid w:val="00AF070D"/>
    <w:rsid w:val="00AF5EE7"/>
    <w:rsid w:val="00AF7A90"/>
    <w:rsid w:val="00AF7AE4"/>
    <w:rsid w:val="00B018A6"/>
    <w:rsid w:val="00B03286"/>
    <w:rsid w:val="00B0398C"/>
    <w:rsid w:val="00B07FB7"/>
    <w:rsid w:val="00B1019A"/>
    <w:rsid w:val="00B20989"/>
    <w:rsid w:val="00B24FF0"/>
    <w:rsid w:val="00B30767"/>
    <w:rsid w:val="00B32C41"/>
    <w:rsid w:val="00B32CBF"/>
    <w:rsid w:val="00B403E7"/>
    <w:rsid w:val="00B417B3"/>
    <w:rsid w:val="00B4211D"/>
    <w:rsid w:val="00B42AC1"/>
    <w:rsid w:val="00B442F4"/>
    <w:rsid w:val="00B51DCD"/>
    <w:rsid w:val="00B536E1"/>
    <w:rsid w:val="00B56322"/>
    <w:rsid w:val="00B577B9"/>
    <w:rsid w:val="00B62CB2"/>
    <w:rsid w:val="00B731DA"/>
    <w:rsid w:val="00B73A54"/>
    <w:rsid w:val="00B77B24"/>
    <w:rsid w:val="00B81D0B"/>
    <w:rsid w:val="00B81FDE"/>
    <w:rsid w:val="00B82DE9"/>
    <w:rsid w:val="00B83A96"/>
    <w:rsid w:val="00B83B77"/>
    <w:rsid w:val="00B86CC7"/>
    <w:rsid w:val="00B909B6"/>
    <w:rsid w:val="00B94A40"/>
    <w:rsid w:val="00B9743C"/>
    <w:rsid w:val="00BA0179"/>
    <w:rsid w:val="00BA0355"/>
    <w:rsid w:val="00BA0CF2"/>
    <w:rsid w:val="00BA13AF"/>
    <w:rsid w:val="00BA3FD4"/>
    <w:rsid w:val="00BA5360"/>
    <w:rsid w:val="00BA72F6"/>
    <w:rsid w:val="00BA76A9"/>
    <w:rsid w:val="00BB03D6"/>
    <w:rsid w:val="00BB309B"/>
    <w:rsid w:val="00BB5860"/>
    <w:rsid w:val="00BB5C2E"/>
    <w:rsid w:val="00BC165C"/>
    <w:rsid w:val="00BD3385"/>
    <w:rsid w:val="00BD4B56"/>
    <w:rsid w:val="00BE36E8"/>
    <w:rsid w:val="00BE4918"/>
    <w:rsid w:val="00BE4FAE"/>
    <w:rsid w:val="00BF0440"/>
    <w:rsid w:val="00BF0911"/>
    <w:rsid w:val="00BF2802"/>
    <w:rsid w:val="00BF493C"/>
    <w:rsid w:val="00BF4A5C"/>
    <w:rsid w:val="00C0043C"/>
    <w:rsid w:val="00C047C2"/>
    <w:rsid w:val="00C074F3"/>
    <w:rsid w:val="00C113E6"/>
    <w:rsid w:val="00C122E5"/>
    <w:rsid w:val="00C1680C"/>
    <w:rsid w:val="00C1682C"/>
    <w:rsid w:val="00C32E40"/>
    <w:rsid w:val="00C34C17"/>
    <w:rsid w:val="00C358D0"/>
    <w:rsid w:val="00C37B96"/>
    <w:rsid w:val="00C419E5"/>
    <w:rsid w:val="00C45CAD"/>
    <w:rsid w:val="00C47171"/>
    <w:rsid w:val="00C51D36"/>
    <w:rsid w:val="00C55C98"/>
    <w:rsid w:val="00C64302"/>
    <w:rsid w:val="00C67630"/>
    <w:rsid w:val="00C73168"/>
    <w:rsid w:val="00C836D9"/>
    <w:rsid w:val="00C83F5A"/>
    <w:rsid w:val="00C86ABE"/>
    <w:rsid w:val="00C92D2D"/>
    <w:rsid w:val="00C9781F"/>
    <w:rsid w:val="00CA2AD2"/>
    <w:rsid w:val="00CA4ACA"/>
    <w:rsid w:val="00CA6A57"/>
    <w:rsid w:val="00CA7528"/>
    <w:rsid w:val="00CB279E"/>
    <w:rsid w:val="00CB3B9D"/>
    <w:rsid w:val="00CB515C"/>
    <w:rsid w:val="00CC1DF0"/>
    <w:rsid w:val="00CC20E7"/>
    <w:rsid w:val="00CC5CD7"/>
    <w:rsid w:val="00CD21E5"/>
    <w:rsid w:val="00CD2643"/>
    <w:rsid w:val="00CD4682"/>
    <w:rsid w:val="00CD4816"/>
    <w:rsid w:val="00CD5432"/>
    <w:rsid w:val="00CD5E57"/>
    <w:rsid w:val="00CE0796"/>
    <w:rsid w:val="00CE0B3C"/>
    <w:rsid w:val="00CE20BC"/>
    <w:rsid w:val="00CF17DA"/>
    <w:rsid w:val="00CF18FC"/>
    <w:rsid w:val="00CF1E2F"/>
    <w:rsid w:val="00CF40A0"/>
    <w:rsid w:val="00CF55E8"/>
    <w:rsid w:val="00D015BB"/>
    <w:rsid w:val="00D02CCD"/>
    <w:rsid w:val="00D0706D"/>
    <w:rsid w:val="00D13E2D"/>
    <w:rsid w:val="00D1488E"/>
    <w:rsid w:val="00D148C3"/>
    <w:rsid w:val="00D14E90"/>
    <w:rsid w:val="00D16750"/>
    <w:rsid w:val="00D222D6"/>
    <w:rsid w:val="00D25A5B"/>
    <w:rsid w:val="00D30C21"/>
    <w:rsid w:val="00D35107"/>
    <w:rsid w:val="00D351DF"/>
    <w:rsid w:val="00D3692C"/>
    <w:rsid w:val="00D40650"/>
    <w:rsid w:val="00D419AE"/>
    <w:rsid w:val="00D43420"/>
    <w:rsid w:val="00D4548B"/>
    <w:rsid w:val="00D45C77"/>
    <w:rsid w:val="00D45EC7"/>
    <w:rsid w:val="00D476F7"/>
    <w:rsid w:val="00D52556"/>
    <w:rsid w:val="00D5265A"/>
    <w:rsid w:val="00D627A1"/>
    <w:rsid w:val="00D64533"/>
    <w:rsid w:val="00D71B9F"/>
    <w:rsid w:val="00D71C9D"/>
    <w:rsid w:val="00D72655"/>
    <w:rsid w:val="00D729A4"/>
    <w:rsid w:val="00D72D31"/>
    <w:rsid w:val="00D77189"/>
    <w:rsid w:val="00D77BF0"/>
    <w:rsid w:val="00D80AD5"/>
    <w:rsid w:val="00D815E6"/>
    <w:rsid w:val="00D8164C"/>
    <w:rsid w:val="00D8185C"/>
    <w:rsid w:val="00D81F9F"/>
    <w:rsid w:val="00D84282"/>
    <w:rsid w:val="00D843F6"/>
    <w:rsid w:val="00D9154B"/>
    <w:rsid w:val="00D951DB"/>
    <w:rsid w:val="00D965DD"/>
    <w:rsid w:val="00D96900"/>
    <w:rsid w:val="00DA00F0"/>
    <w:rsid w:val="00DA2848"/>
    <w:rsid w:val="00DA3C15"/>
    <w:rsid w:val="00DA7985"/>
    <w:rsid w:val="00DB065B"/>
    <w:rsid w:val="00DB5A42"/>
    <w:rsid w:val="00DC0324"/>
    <w:rsid w:val="00DC63D3"/>
    <w:rsid w:val="00DC7483"/>
    <w:rsid w:val="00DC7FF9"/>
    <w:rsid w:val="00DD04C2"/>
    <w:rsid w:val="00DD5C08"/>
    <w:rsid w:val="00DD608E"/>
    <w:rsid w:val="00DD7DFE"/>
    <w:rsid w:val="00DE08F3"/>
    <w:rsid w:val="00DE38F5"/>
    <w:rsid w:val="00DE50E4"/>
    <w:rsid w:val="00DE65BE"/>
    <w:rsid w:val="00DE6C38"/>
    <w:rsid w:val="00DF0B21"/>
    <w:rsid w:val="00DF6A0F"/>
    <w:rsid w:val="00DF78B1"/>
    <w:rsid w:val="00E00CBD"/>
    <w:rsid w:val="00E05CA8"/>
    <w:rsid w:val="00E06FF7"/>
    <w:rsid w:val="00E12773"/>
    <w:rsid w:val="00E15995"/>
    <w:rsid w:val="00E15A0A"/>
    <w:rsid w:val="00E232FF"/>
    <w:rsid w:val="00E2492E"/>
    <w:rsid w:val="00E33459"/>
    <w:rsid w:val="00E35EA9"/>
    <w:rsid w:val="00E41DD2"/>
    <w:rsid w:val="00E4255E"/>
    <w:rsid w:val="00E43808"/>
    <w:rsid w:val="00E4683C"/>
    <w:rsid w:val="00E47706"/>
    <w:rsid w:val="00E47B15"/>
    <w:rsid w:val="00E51045"/>
    <w:rsid w:val="00E51251"/>
    <w:rsid w:val="00E552DF"/>
    <w:rsid w:val="00E559AA"/>
    <w:rsid w:val="00E56270"/>
    <w:rsid w:val="00E56F08"/>
    <w:rsid w:val="00E60B08"/>
    <w:rsid w:val="00E615ED"/>
    <w:rsid w:val="00E61C85"/>
    <w:rsid w:val="00E6562D"/>
    <w:rsid w:val="00E658DD"/>
    <w:rsid w:val="00E65EF4"/>
    <w:rsid w:val="00E7311D"/>
    <w:rsid w:val="00E73A36"/>
    <w:rsid w:val="00E77B52"/>
    <w:rsid w:val="00E82ABC"/>
    <w:rsid w:val="00E8641C"/>
    <w:rsid w:val="00E86C41"/>
    <w:rsid w:val="00E87ACD"/>
    <w:rsid w:val="00E92283"/>
    <w:rsid w:val="00E927F0"/>
    <w:rsid w:val="00E95EC1"/>
    <w:rsid w:val="00E9653A"/>
    <w:rsid w:val="00E969D7"/>
    <w:rsid w:val="00E9771C"/>
    <w:rsid w:val="00EA5AB2"/>
    <w:rsid w:val="00EB38BF"/>
    <w:rsid w:val="00EB462D"/>
    <w:rsid w:val="00EB7442"/>
    <w:rsid w:val="00EC29BF"/>
    <w:rsid w:val="00EC2FBD"/>
    <w:rsid w:val="00EC5217"/>
    <w:rsid w:val="00EC7BA7"/>
    <w:rsid w:val="00ED53CB"/>
    <w:rsid w:val="00EE169A"/>
    <w:rsid w:val="00EF209A"/>
    <w:rsid w:val="00EF37CE"/>
    <w:rsid w:val="00EF549D"/>
    <w:rsid w:val="00EF6DD7"/>
    <w:rsid w:val="00F01E0D"/>
    <w:rsid w:val="00F03E53"/>
    <w:rsid w:val="00F05189"/>
    <w:rsid w:val="00F0664D"/>
    <w:rsid w:val="00F06D7E"/>
    <w:rsid w:val="00F07859"/>
    <w:rsid w:val="00F100EA"/>
    <w:rsid w:val="00F10109"/>
    <w:rsid w:val="00F11A41"/>
    <w:rsid w:val="00F138AB"/>
    <w:rsid w:val="00F13E10"/>
    <w:rsid w:val="00F15336"/>
    <w:rsid w:val="00F251BF"/>
    <w:rsid w:val="00F25941"/>
    <w:rsid w:val="00F43BBE"/>
    <w:rsid w:val="00F46006"/>
    <w:rsid w:val="00F46767"/>
    <w:rsid w:val="00F50C91"/>
    <w:rsid w:val="00F54F6D"/>
    <w:rsid w:val="00F6107C"/>
    <w:rsid w:val="00F704BF"/>
    <w:rsid w:val="00F70C1E"/>
    <w:rsid w:val="00F713F5"/>
    <w:rsid w:val="00F71853"/>
    <w:rsid w:val="00F74959"/>
    <w:rsid w:val="00F75655"/>
    <w:rsid w:val="00F76675"/>
    <w:rsid w:val="00F81B1D"/>
    <w:rsid w:val="00F83353"/>
    <w:rsid w:val="00F83A22"/>
    <w:rsid w:val="00F8705E"/>
    <w:rsid w:val="00F90A78"/>
    <w:rsid w:val="00F97ECD"/>
    <w:rsid w:val="00FB145B"/>
    <w:rsid w:val="00FB18EB"/>
    <w:rsid w:val="00FB2756"/>
    <w:rsid w:val="00FC31FA"/>
    <w:rsid w:val="00FC3755"/>
    <w:rsid w:val="00FC53C2"/>
    <w:rsid w:val="00FC633F"/>
    <w:rsid w:val="00FC6EF4"/>
    <w:rsid w:val="00FC74BC"/>
    <w:rsid w:val="00FD33E6"/>
    <w:rsid w:val="00FD4C9C"/>
    <w:rsid w:val="00FD665F"/>
    <w:rsid w:val="00FE1046"/>
    <w:rsid w:val="00FE2D11"/>
    <w:rsid w:val="00FE7ACB"/>
    <w:rsid w:val="00FF2381"/>
    <w:rsid w:val="00FF3563"/>
    <w:rsid w:val="00FF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7B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836D9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78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78E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78EE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3F1F1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C67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67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67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67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67B9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51045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61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1E9F"/>
  </w:style>
  <w:style w:type="paragraph" w:styleId="Rodap">
    <w:name w:val="footer"/>
    <w:basedOn w:val="Normal"/>
    <w:link w:val="RodapChar"/>
    <w:uiPriority w:val="99"/>
    <w:unhideWhenUsed/>
    <w:rsid w:val="00361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E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8D8D8D"/>
                <w:right w:val="none" w:sz="0" w:space="0" w:color="auto"/>
              </w:divBdr>
              <w:divsChild>
                <w:div w:id="97329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16864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9952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3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865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2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18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921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0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6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2486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1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D8D8D"/>
                <w:right w:val="none" w:sz="0" w:space="0" w:color="auto"/>
              </w:divBdr>
              <w:divsChild>
                <w:div w:id="21077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anp.gov.br/?pg=58457&amp;m=&amp;t1=&amp;t2=&amp;t3=&amp;t4=&amp;ar=&amp;ps=&amp;cachebust=1326117605546" TargetMode="External"/><Relationship Id="rId18" Type="http://schemas.openxmlformats.org/officeDocument/2006/relationships/hyperlink" Target="http://aliceweb.desenvolvimento.gov.br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dx.doi.org/10.1787/agr_outlook-2011-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biove.com.br/balanco_br.html" TargetMode="External"/><Relationship Id="rId17" Type="http://schemas.openxmlformats.org/officeDocument/2006/relationships/hyperlink" Target="http://www.conab.gov.br/OlalaCMS/uploads/arquivos/11_12_08_10_58_12_08.pdf" TargetMode="External"/><Relationship Id="rId25" Type="http://schemas.openxmlformats.org/officeDocument/2006/relationships/hyperlink" Target="http://www.fas.usda.gov/psdonline/psdquery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sbios.com/?menu=noticias&amp;id=262" TargetMode="External"/><Relationship Id="rId20" Type="http://schemas.openxmlformats.org/officeDocument/2006/relationships/hyperlink" Target="http://www.csu.edu.au/research/aarc/Docs/CN-meat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://www.biodieselbr.com/palestras/2011/embrap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p.gov.br/?pg=58472&amp;m=&amp;t1=&amp;t2=&amp;t3=&amp;t4=&amp;ar=&amp;ps=&amp;cachebust=1326649975781" TargetMode="External"/><Relationship Id="rId23" Type="http://schemas.openxmlformats.org/officeDocument/2006/relationships/hyperlink" Target="http://www.ncsu.edu/project/amazonia/for414/Readings/biofuels_wb.pdf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hyperlink" Target="http://www.imf.org/external/pubs/ft/weo/2011/02/weodata/weoselagr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anp.gov.br/?pg=58819&amp;m=&amp;t1=&amp;t2=&amp;t3=&amp;t4=&amp;ar=&amp;ps=&amp;cachebust=1326117874875" TargetMode="External"/><Relationship Id="rId22" Type="http://schemas.openxmlformats.org/officeDocument/2006/relationships/hyperlink" Target="http://esa.un.org/wup2009/unup/index.asp?panel=1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Rodrigo\Meus%20documentos\FEE\Biodiesel\Produ&#231;&#227;o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Rodrigo\Meus%20documentos\FEE\Biodiesel\Produ&#231;&#227;o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Rodrigo\Meus%20documentos\FEE\Biodiesel\Produ&#231;&#227;o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/>
      <c:barChart>
        <c:barDir val="col"/>
        <c:grouping val="clustered"/>
        <c:ser>
          <c:idx val="0"/>
          <c:order val="1"/>
          <c:tx>
            <c:v>RS</c:v>
          </c:tx>
          <c:spPr>
            <a:solidFill>
              <a:schemeClr val="tx1">
                <a:lumMod val="50000"/>
                <a:lumOff val="50000"/>
              </a:schemeClr>
            </a:solidFill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0"/>
                </c:manualLayout>
              </c:layout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spPr>
              <a:solidFill>
                <a:sysClr val="window" lastClr="FFFFFF"/>
              </a:solidFill>
            </c:spPr>
            <c:showVal val="1"/>
          </c:dLbls>
          <c:cat>
            <c:strRef>
              <c:f>'Produção BRA-RS'!$B$2:$H$2</c:f>
              <c:strCach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2011*</c:v>
                </c:pt>
              </c:strCache>
            </c:strRef>
          </c:cat>
          <c:val>
            <c:numRef>
              <c:f>'Produção BRA-RS'!$B$4:$H$4</c:f>
              <c:numCache>
                <c:formatCode>0</c:formatCode>
                <c:ptCount val="7"/>
                <c:pt idx="0">
                  <c:v>0</c:v>
                </c:pt>
                <c:pt idx="1">
                  <c:v>0</c:v>
                </c:pt>
                <c:pt idx="2">
                  <c:v>42.696398000000187</c:v>
                </c:pt>
                <c:pt idx="3">
                  <c:v>306.05604099999999</c:v>
                </c:pt>
                <c:pt idx="4">
                  <c:v>454.18928700000032</c:v>
                </c:pt>
                <c:pt idx="5">
                  <c:v>605.99800700000003</c:v>
                </c:pt>
                <c:pt idx="6">
                  <c:v>731.28878300000451</c:v>
                </c:pt>
              </c:numCache>
            </c:numRef>
          </c:val>
        </c:ser>
        <c:axId val="87172224"/>
        <c:axId val="87173760"/>
      </c:barChart>
      <c:lineChart>
        <c:grouping val="standard"/>
        <c:ser>
          <c:idx val="1"/>
          <c:order val="0"/>
          <c:tx>
            <c:v>Brasil</c:v>
          </c:tx>
          <c:spPr>
            <a:ln>
              <a:solidFill>
                <a:prstClr val="black"/>
              </a:solidFill>
              <a:prstDash val="dashDot"/>
            </a:ln>
          </c:spPr>
          <c:marker>
            <c:symbol val="square"/>
            <c:size val="5"/>
            <c:spPr>
              <a:solidFill>
                <a:sysClr val="windowText" lastClr="000000"/>
              </a:solidFill>
              <a:ln>
                <a:solidFill>
                  <a:prstClr val="black"/>
                </a:solidFill>
              </a:ln>
            </c:spPr>
          </c:marker>
          <c:dLbls>
            <c:dLbl>
              <c:idx val="0"/>
              <c:layout>
                <c:manualLayout>
                  <c:x val="-2.3154848046309792E-2"/>
                  <c:y val="-4.2145593869731914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2.3154848046309694E-2"/>
                  <c:y val="-4.2145593869731914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4.4380125422093818E-2"/>
                  <c:y val="-3.4482758620689696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5.788712011577446E-2"/>
                  <c:y val="-4.2145593869731914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4.0521136015740492E-2"/>
                  <c:y val="-5.363984674329470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5"/>
              <c:layout>
                <c:manualLayout>
                  <c:x val="-8.1041968162084782E-2"/>
                  <c:y val="-7.6634386218964005E-3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6"/>
              <c:layout>
                <c:manualLayout>
                  <c:x val="-2.3154848046309694E-2"/>
                  <c:y val="-3.8314176245210732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spPr>
              <a:solidFill>
                <a:schemeClr val="bg1"/>
              </a:solidFill>
            </c:spPr>
            <c:showVal val="1"/>
          </c:dLbls>
          <c:cat>
            <c:strRef>
              <c:f>'Produção BRA-RS'!$B$2:$H$2</c:f>
              <c:strCache>
                <c:ptCount val="7"/>
                <c:pt idx="0">
                  <c:v>2005</c:v>
                </c:pt>
                <c:pt idx="1">
                  <c:v>2006</c:v>
                </c:pt>
                <c:pt idx="2">
                  <c:v>2007</c:v>
                </c:pt>
                <c:pt idx="3">
                  <c:v>2008</c:v>
                </c:pt>
                <c:pt idx="4">
                  <c:v>2009</c:v>
                </c:pt>
                <c:pt idx="5">
                  <c:v>2010</c:v>
                </c:pt>
                <c:pt idx="6">
                  <c:v>2011*</c:v>
                </c:pt>
              </c:strCache>
            </c:strRef>
          </c:cat>
          <c:val>
            <c:numRef>
              <c:f>'Produção BRA-RS'!$B$3:$H$3</c:f>
              <c:numCache>
                <c:formatCode>0</c:formatCode>
                <c:ptCount val="7"/>
                <c:pt idx="0" formatCode="0.0">
                  <c:v>0.73615956521739134</c:v>
                </c:pt>
                <c:pt idx="1">
                  <c:v>69.001981000000001</c:v>
                </c:pt>
                <c:pt idx="2">
                  <c:v>404.32914</c:v>
                </c:pt>
                <c:pt idx="3">
                  <c:v>1167.1284149999935</c:v>
                </c:pt>
                <c:pt idx="4">
                  <c:v>1608.4484170000001</c:v>
                </c:pt>
                <c:pt idx="5">
                  <c:v>2385.1732609999999</c:v>
                </c:pt>
                <c:pt idx="6">
                  <c:v>2179.3691370000124</c:v>
                </c:pt>
              </c:numCache>
            </c:numRef>
          </c:val>
        </c:ser>
        <c:marker val="1"/>
        <c:axId val="87172224"/>
        <c:axId val="87173760"/>
      </c:lineChart>
      <c:catAx>
        <c:axId val="87172224"/>
        <c:scaling>
          <c:orientation val="minMax"/>
        </c:scaling>
        <c:axPos val="b"/>
        <c:numFmt formatCode="General" sourceLinked="1"/>
        <c:majorTickMark val="none"/>
        <c:tickLblPos val="nextTo"/>
        <c:crossAx val="87173760"/>
        <c:crosses val="autoZero"/>
        <c:auto val="1"/>
        <c:lblAlgn val="ctr"/>
        <c:lblOffset val="100"/>
      </c:catAx>
      <c:valAx>
        <c:axId val="87173760"/>
        <c:scaling>
          <c:orientation val="minMax"/>
          <c:max val="2500"/>
        </c:scaling>
        <c:axPos val="l"/>
        <c:majorGridlines/>
        <c:numFmt formatCode="0" sourceLinked="1"/>
        <c:majorTickMark val="none"/>
        <c:tickLblPos val="nextTo"/>
        <c:spPr>
          <a:ln>
            <a:noFill/>
          </a:ln>
        </c:spPr>
        <c:crossAx val="87172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9614663217749204"/>
          <c:y val="0.91201466196035486"/>
          <c:w val="0.57297431164085966"/>
          <c:h val="6.4996832292515558E-2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plotArea>
      <c:layout>
        <c:manualLayout>
          <c:layoutTarget val="inner"/>
          <c:xMode val="edge"/>
          <c:yMode val="edge"/>
          <c:x val="2.587017873941681E-2"/>
          <c:y val="7.6042639263374359E-2"/>
          <c:w val="0.74309153265531591"/>
          <c:h val="0.83394188650860845"/>
        </c:manualLayout>
      </c:layout>
      <c:barChart>
        <c:barDir val="col"/>
        <c:grouping val="percentStacked"/>
        <c:ser>
          <c:idx val="5"/>
          <c:order val="0"/>
          <c:tx>
            <c:strRef>
              <c:f>'RS ano'!$A$12</c:f>
              <c:strCache>
                <c:ptCount val="1"/>
                <c:pt idx="0">
                  <c:v>Oleoplan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Val val="1"/>
          </c:dLbls>
          <c:val>
            <c:numRef>
              <c:f>'RS ano'!$E$12:$I$12</c:f>
              <c:numCache>
                <c:formatCode>0%</c:formatCode>
                <c:ptCount val="5"/>
                <c:pt idx="0">
                  <c:v>0.18198150195332641</c:v>
                </c:pt>
                <c:pt idx="1">
                  <c:v>0.31251050624585069</c:v>
                </c:pt>
                <c:pt idx="2">
                  <c:v>0.38107379854773782</c:v>
                </c:pt>
                <c:pt idx="3">
                  <c:v>0.32367189990726158</c:v>
                </c:pt>
                <c:pt idx="4">
                  <c:v>0.26701941558519693</c:v>
                </c:pt>
              </c:numCache>
            </c:numRef>
          </c:val>
        </c:ser>
        <c:ser>
          <c:idx val="0"/>
          <c:order val="1"/>
          <c:tx>
            <c:strRef>
              <c:f>'RS ano'!$A$13</c:f>
              <c:strCache>
                <c:ptCount val="1"/>
                <c:pt idx="0">
                  <c:v>Granol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prstClr val="black"/>
              </a:solidFill>
            </a:ln>
          </c:spPr>
          <c:dLbls>
            <c:dLbl>
              <c:idx val="0"/>
              <c:delete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Val val="1"/>
          </c:dLbls>
          <c:cat>
            <c:strRef>
              <c:f>'RS ano'!$E$11:$I$11</c:f>
              <c:strCach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</c:strCache>
            </c:strRef>
          </c:cat>
          <c:val>
            <c:numRef>
              <c:f>'RS ano'!$E$13:$I$13</c:f>
              <c:numCache>
                <c:formatCode>0%</c:formatCode>
                <c:ptCount val="5"/>
                <c:pt idx="0">
                  <c:v>0</c:v>
                </c:pt>
                <c:pt idx="1">
                  <c:v>0.27819938139433548</c:v>
                </c:pt>
                <c:pt idx="2">
                  <c:v>0.2580132613871195</c:v>
                </c:pt>
                <c:pt idx="3">
                  <c:v>0.26227848936795273</c:v>
                </c:pt>
                <c:pt idx="4">
                  <c:v>0.24538572996058433</c:v>
                </c:pt>
              </c:numCache>
            </c:numRef>
          </c:val>
        </c:ser>
        <c:ser>
          <c:idx val="1"/>
          <c:order val="2"/>
          <c:tx>
            <c:strRef>
              <c:f>'RS ano'!$A$14</c:f>
              <c:strCache>
                <c:ptCount val="1"/>
                <c:pt idx="0">
                  <c:v>BSBIOS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solidFill>
                <a:prstClr val="black"/>
              </a:solidFill>
            </a:ln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pt-BR"/>
              </a:p>
            </c:txPr>
            <c:showVal val="1"/>
          </c:dLbls>
          <c:cat>
            <c:strRef>
              <c:f>'RS ano'!$E$11:$I$11</c:f>
              <c:strCach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</c:strCache>
            </c:strRef>
          </c:cat>
          <c:val>
            <c:numRef>
              <c:f>'RS ano'!$E$14:$I$14</c:f>
              <c:numCache>
                <c:formatCode>0%</c:formatCode>
                <c:ptCount val="5"/>
                <c:pt idx="0">
                  <c:v>0.31312368255871686</c:v>
                </c:pt>
                <c:pt idx="1">
                  <c:v>0.28537942920518738</c:v>
                </c:pt>
                <c:pt idx="2">
                  <c:v>0.24028334970205953</c:v>
                </c:pt>
                <c:pt idx="3">
                  <c:v>0.21352535816949936</c:v>
                </c:pt>
                <c:pt idx="4">
                  <c:v>0.14581655291315818</c:v>
                </c:pt>
              </c:numCache>
            </c:numRef>
          </c:val>
        </c:ser>
        <c:ser>
          <c:idx val="4"/>
          <c:order val="3"/>
          <c:tx>
            <c:strRef>
              <c:f>'RS ano'!$A$15</c:f>
              <c:strCache>
                <c:ptCount val="1"/>
                <c:pt idx="0">
                  <c:v>Brasil Ecodiesel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prstClr val="black"/>
              </a:solidFill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showVal val="1"/>
            </c:dLbl>
            <c:showVal val="1"/>
          </c:dLbls>
          <c:val>
            <c:numRef>
              <c:f>'RS ano'!$E$15:$I$15</c:f>
              <c:numCache>
                <c:formatCode>0%</c:formatCode>
                <c:ptCount val="5"/>
                <c:pt idx="0">
                  <c:v>0.50489476864560001</c:v>
                </c:pt>
                <c:pt idx="1">
                  <c:v>0.12391068642200299</c:v>
                </c:pt>
                <c:pt idx="2">
                  <c:v>0.12062958375790862</c:v>
                </c:pt>
                <c:pt idx="3">
                  <c:v>0.10454959092274231</c:v>
                </c:pt>
                <c:pt idx="4">
                  <c:v>9.2447448942196295E-2</c:v>
                </c:pt>
              </c:numCache>
            </c:numRef>
          </c:val>
        </c:ser>
        <c:ser>
          <c:idx val="2"/>
          <c:order val="4"/>
          <c:tx>
            <c:strRef>
              <c:f>'RS ano'!$A$16</c:f>
              <c:strCache>
                <c:ptCount val="1"/>
                <c:pt idx="0">
                  <c:v>Olfar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prstClr val="black"/>
              </a:solidFill>
            </a:ln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showVal val="1"/>
          </c:dLbls>
          <c:cat>
            <c:strRef>
              <c:f>'RS ano'!$E$11:$I$11</c:f>
              <c:strCach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</c:strCache>
            </c:strRef>
          </c:cat>
          <c:val>
            <c:numRef>
              <c:f>'RS ano'!$E$16:$I$16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8.6345509391120095E-2</c:v>
                </c:pt>
                <c:pt idx="4">
                  <c:v>0.12817892876248069</c:v>
                </c:pt>
              </c:numCache>
            </c:numRef>
          </c:val>
        </c:ser>
        <c:ser>
          <c:idx val="3"/>
          <c:order val="5"/>
          <c:tx>
            <c:strRef>
              <c:f>'RS ano'!$A$17</c:f>
              <c:strCache>
                <c:ptCount val="1"/>
                <c:pt idx="0">
                  <c:v>Camera</c:v>
                </c:pt>
              </c:strCache>
            </c:strRef>
          </c:tx>
          <c:spPr>
            <a:solidFill>
              <a:sysClr val="window" lastClr="FFFFFF"/>
            </a:solidFill>
            <a:ln>
              <a:solidFill>
                <a:prstClr val="black"/>
              </a:solidFill>
            </a:ln>
          </c:spP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0"/>
                  <c:y val="-2.8515989723765386E-2"/>
                </c:manualLayout>
              </c:layout>
              <c:showVal val="1"/>
            </c:dLbl>
            <c:showVal val="1"/>
          </c:dLbls>
          <c:cat>
            <c:strRef>
              <c:f>'RS ano'!$E$11:$I$11</c:f>
              <c:strCache>
                <c:ptCount val="5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</c:strCache>
            </c:strRef>
          </c:cat>
          <c:val>
            <c:numRef>
              <c:f>'RS ano'!$E$17:$I$17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9.6291637926197785E-3</c:v>
                </c:pt>
                <c:pt idx="4">
                  <c:v>0.12115190058975336</c:v>
                </c:pt>
              </c:numCache>
            </c:numRef>
          </c:val>
        </c:ser>
        <c:overlap val="100"/>
        <c:axId val="62095744"/>
        <c:axId val="62097280"/>
      </c:barChart>
      <c:catAx>
        <c:axId val="62095744"/>
        <c:scaling>
          <c:orientation val="minMax"/>
        </c:scaling>
        <c:axPos val="b"/>
        <c:numFmt formatCode="General" sourceLinked="1"/>
        <c:tickLblPos val="nextTo"/>
        <c:crossAx val="62097280"/>
        <c:crosses val="autoZero"/>
        <c:auto val="1"/>
        <c:lblAlgn val="ctr"/>
        <c:lblOffset val="100"/>
      </c:catAx>
      <c:valAx>
        <c:axId val="62097280"/>
        <c:scaling>
          <c:orientation val="minMax"/>
        </c:scaling>
        <c:delete val="1"/>
        <c:axPos val="l"/>
        <c:numFmt formatCode="0%" sourceLinked="1"/>
        <c:tickLblPos val="none"/>
        <c:crossAx val="62095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483189013414823"/>
          <c:y val="0.17257674899005868"/>
          <c:w val="0.19105710328071637"/>
          <c:h val="0.65959879274825661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>
        <c:manualLayout>
          <c:layoutTarget val="inner"/>
          <c:xMode val="edge"/>
          <c:yMode val="edge"/>
          <c:x val="8.2331797542240445E-2"/>
          <c:y val="8.6818491122953076E-2"/>
          <c:w val="0.89179802371834282"/>
          <c:h val="0.63268721039500309"/>
        </c:manualLayout>
      </c:layout>
      <c:barChart>
        <c:barDir val="col"/>
        <c:grouping val="clustered"/>
        <c:ser>
          <c:idx val="0"/>
          <c:order val="0"/>
          <c:tx>
            <c:strRef>
              <c:f>'RS produção x capacidade'!$A$11</c:f>
              <c:strCache>
                <c:ptCount val="1"/>
                <c:pt idx="0">
                  <c:v>Produção RS</c:v>
                </c:pt>
              </c:strCache>
            </c:strRef>
          </c:tx>
          <c:spPr>
            <a:solidFill>
              <a:schemeClr val="tx1"/>
            </a:solidFill>
            <a:effectLst>
              <a:outerShdw blurRad="50800" sx="1000" sy="1000" algn="ctr" rotWithShape="0">
                <a:srgbClr val="000000"/>
              </a:outerShdw>
            </a:effectLst>
          </c:spPr>
          <c:cat>
            <c:strRef>
              <c:f>'RS produção x capacidade'!$B$1:$G$1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  <c:pt idx="5">
                  <c:v>2012-**</c:v>
                </c:pt>
              </c:strCache>
            </c:strRef>
          </c:cat>
          <c:val>
            <c:numRef>
              <c:f>'RS produção x capacidade'!$B$11:$G$11</c:f>
              <c:numCache>
                <c:formatCode>General</c:formatCode>
                <c:ptCount val="6"/>
                <c:pt idx="0">
                  <c:v>42.696398000000059</c:v>
                </c:pt>
                <c:pt idx="1">
                  <c:v>306.05604099999999</c:v>
                </c:pt>
                <c:pt idx="2">
                  <c:v>454.18928699999998</c:v>
                </c:pt>
                <c:pt idx="3">
                  <c:v>605.99800700000003</c:v>
                </c:pt>
                <c:pt idx="4">
                  <c:v>731.28878300000144</c:v>
                </c:pt>
              </c:numCache>
            </c:numRef>
          </c:val>
        </c:ser>
        <c:ser>
          <c:idx val="1"/>
          <c:order val="1"/>
          <c:tx>
            <c:strRef>
              <c:f>'RS produção x capacidade'!$A$12</c:f>
              <c:strCache>
                <c:ptCount val="1"/>
                <c:pt idx="0">
                  <c:v>Capacidade Nominal RS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dLbls>
            <c:dLbl>
              <c:idx val="0"/>
              <c:layout>
                <c:manualLayout>
                  <c:x val="0"/>
                  <c:y val="1.0723857571409355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dLbl>
              <c:idx val="1"/>
              <c:layout>
                <c:manualLayout>
                  <c:x val="0"/>
                  <c:y val="7.4128102408251599E-3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dLbl>
              <c:idx val="2"/>
              <c:layout>
                <c:manualLayout>
                  <c:x val="-5.6444026340545704E-2"/>
                  <c:y val="4.4839710825621784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dLbl>
              <c:idx val="3"/>
              <c:layout>
                <c:manualLayout>
                  <c:x val="0"/>
                  <c:y val="1.7873095952348917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dLbl>
              <c:idx val="4"/>
              <c:layout>
                <c:manualLayout>
                  <c:x val="0"/>
                  <c:y val="1.7873095952348917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dLbl>
              <c:idx val="5"/>
              <c:layout>
                <c:manualLayout>
                  <c:x val="0"/>
                  <c:y val="1.4298476761879135E-2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outEnd"/>
              <c:showVal val="1"/>
            </c:dLbl>
            <c:spPr>
              <a:solidFill>
                <a:schemeClr val="bg1"/>
              </a:solidFill>
            </c:spPr>
            <c:showVal val="1"/>
          </c:dLbls>
          <c:cat>
            <c:strRef>
              <c:f>'RS produção x capacidade'!$B$1:$G$1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  <c:pt idx="5">
                  <c:v>2012-**</c:v>
                </c:pt>
              </c:strCache>
            </c:strRef>
          </c:cat>
          <c:val>
            <c:numRef>
              <c:f>'RS produção x capacidade'!$B$12:$G$12</c:f>
              <c:numCache>
                <c:formatCode>0</c:formatCode>
                <c:ptCount val="6"/>
                <c:pt idx="0">
                  <c:v>432.3</c:v>
                </c:pt>
                <c:pt idx="1">
                  <c:v>549.50099999999998</c:v>
                </c:pt>
                <c:pt idx="2">
                  <c:v>863.03800000000001</c:v>
                </c:pt>
                <c:pt idx="3">
                  <c:v>1363.4390000000001</c:v>
                </c:pt>
                <c:pt idx="4">
                  <c:v>1363.4390000000001</c:v>
                </c:pt>
                <c:pt idx="5">
                  <c:v>1827.8389999999999</c:v>
                </c:pt>
              </c:numCache>
            </c:numRef>
          </c:val>
        </c:ser>
        <c:ser>
          <c:idx val="2"/>
          <c:order val="2"/>
          <c:tx>
            <c:strRef>
              <c:f>'RS produção x capacidade'!$A$13</c:f>
              <c:strCache>
                <c:ptCount val="1"/>
                <c:pt idx="0">
                  <c:v>Ociosidade</c:v>
                </c:pt>
              </c:strCache>
            </c:strRef>
          </c:tx>
          <c:cat>
            <c:strRef>
              <c:f>'RS produção x capacidade'!$B$1:$G$1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  <c:pt idx="5">
                  <c:v>2012-**</c:v>
                </c:pt>
              </c:strCache>
            </c:strRef>
          </c:cat>
          <c:val>
            <c:numRef>
              <c:f>'RS produção x capacidade'!$B$13:$G$13</c:f>
            </c:numRef>
          </c:val>
        </c:ser>
        <c:gapWidth val="75"/>
        <c:axId val="97240960"/>
        <c:axId val="97242496"/>
      </c:barChart>
      <c:lineChart>
        <c:grouping val="standard"/>
        <c:ser>
          <c:idx val="3"/>
          <c:order val="3"/>
          <c:tx>
            <c:strRef>
              <c:f>'RS produção x capacidade'!$A$14</c:f>
              <c:strCache>
                <c:ptCount val="1"/>
                <c:pt idx="0">
                  <c:v>Utilização da capacidade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6094929881338844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1"/>
              <c:layout>
                <c:manualLayout>
                  <c:x val="-4.5307443365695803E-2"/>
                  <c:y val="-3.217157271422879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2"/>
              <c:layout>
                <c:manualLayout>
                  <c:x val="-3.0204962243797196E-2"/>
                  <c:y val="-2.5022334333288127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3"/>
              <c:layout>
                <c:manualLayout>
                  <c:x val="-6.4724919093851183E-2"/>
                  <c:y val="2.144771514281865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dLbl>
              <c:idx val="4"/>
              <c:layout>
                <c:manualLayout>
                  <c:x val="-5.8252427184465938E-2"/>
                  <c:y val="-3.21715727142288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pt-BR"/>
                </a:p>
              </c:txPr>
              <c:dLblPos val="r"/>
              <c:showVal val="1"/>
            </c:dLbl>
            <c:showVal val="1"/>
          </c:dLbls>
          <c:cat>
            <c:strRef>
              <c:f>'RS produção x capacidade'!$B$1:$G$1</c:f>
              <c:strCache>
                <c:ptCount val="6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2011*</c:v>
                </c:pt>
                <c:pt idx="5">
                  <c:v>2012-**</c:v>
                </c:pt>
              </c:strCache>
            </c:strRef>
          </c:cat>
          <c:val>
            <c:numRef>
              <c:f>'RS produção x capacidade'!$B$14:$G$14</c:f>
              <c:numCache>
                <c:formatCode>0%</c:formatCode>
                <c:ptCount val="6"/>
                <c:pt idx="0">
                  <c:v>9.8765667360629514E-2</c:v>
                </c:pt>
                <c:pt idx="1">
                  <c:v>0.55697085355622722</c:v>
                </c:pt>
                <c:pt idx="2">
                  <c:v>0.5262680055802873</c:v>
                </c:pt>
                <c:pt idx="3">
                  <c:v>0.44446286705895965</c:v>
                </c:pt>
                <c:pt idx="4">
                  <c:v>0.53635606946845438</c:v>
                </c:pt>
              </c:numCache>
            </c:numRef>
          </c:val>
        </c:ser>
        <c:marker val="1"/>
        <c:axId val="65614976"/>
        <c:axId val="65616512"/>
      </c:lineChart>
      <c:catAx>
        <c:axId val="97240960"/>
        <c:scaling>
          <c:orientation val="minMax"/>
        </c:scaling>
        <c:axPos val="b"/>
        <c:numFmt formatCode="General" sourceLinked="1"/>
        <c:majorTickMark val="none"/>
        <c:tickLblPos val="nextTo"/>
        <c:crossAx val="97242496"/>
        <c:crosses val="autoZero"/>
        <c:auto val="1"/>
        <c:lblAlgn val="ctr"/>
        <c:lblOffset val="100"/>
      </c:catAx>
      <c:valAx>
        <c:axId val="97242496"/>
        <c:scaling>
          <c:orientation val="minMax"/>
          <c:max val="2000"/>
          <c:min val="0"/>
        </c:scaling>
        <c:axPos val="l"/>
        <c:majorGridlines/>
        <c:numFmt formatCode="General" sourceLinked="1"/>
        <c:majorTickMark val="in"/>
        <c:tickLblPos val="nextTo"/>
        <c:spPr>
          <a:ln w="9525">
            <a:noFill/>
          </a:ln>
        </c:spPr>
        <c:crossAx val="97240960"/>
        <c:crosses val="autoZero"/>
        <c:crossBetween val="between"/>
        <c:majorUnit val="300"/>
      </c:valAx>
      <c:catAx>
        <c:axId val="65614976"/>
        <c:scaling>
          <c:orientation val="minMax"/>
        </c:scaling>
        <c:delete val="1"/>
        <c:axPos val="b"/>
        <c:tickLblPos val="none"/>
        <c:crossAx val="65616512"/>
        <c:crosses val="autoZero"/>
        <c:auto val="1"/>
        <c:lblAlgn val="ctr"/>
        <c:lblOffset val="100"/>
      </c:catAx>
      <c:valAx>
        <c:axId val="65616512"/>
        <c:scaling>
          <c:orientation val="minMax"/>
          <c:max val="1"/>
          <c:min val="0"/>
        </c:scaling>
        <c:axPos val="r"/>
        <c:numFmt formatCode="0%" sourceLinked="1"/>
        <c:majorTickMark val="none"/>
        <c:tickLblPos val="none"/>
        <c:spPr>
          <a:ln>
            <a:noFill/>
          </a:ln>
        </c:spPr>
        <c:crossAx val="65614976"/>
        <c:crosses val="max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5.9407337723424533E-2"/>
          <c:y val="0.89011416782778241"/>
          <c:w val="0.9"/>
          <c:h val="6.6105937030831133E-2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autoTitleDeleted val="1"/>
    <c:plotArea>
      <c:layout/>
      <c:lineChart>
        <c:grouping val="standard"/>
        <c:ser>
          <c:idx val="6"/>
          <c:order val="1"/>
          <c:tx>
            <c:strRef>
              <c:f>Diesel!$A$9</c:f>
              <c:strCache>
                <c:ptCount val="1"/>
                <c:pt idx="0">
                  <c:v>Consumo de biodiesel (B5)</c:v>
                </c:pt>
              </c:strCache>
            </c:strRef>
          </c:tx>
          <c:spPr>
            <a:ln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numRef>
              <c:f>Diesel!$B$2:$AH$2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Diesel!$B$9:$AH$9</c:f>
              <c:numCache>
                <c:formatCode>General</c:formatCode>
                <c:ptCount val="17"/>
                <c:pt idx="1">
                  <c:v>0.73615956521739134</c:v>
                </c:pt>
                <c:pt idx="2">
                  <c:v>69.001981000000001</c:v>
                </c:pt>
                <c:pt idx="3">
                  <c:v>404.32914000000005</c:v>
                </c:pt>
                <c:pt idx="4">
                  <c:v>1167.1284149999847</c:v>
                </c:pt>
                <c:pt idx="5">
                  <c:v>1608.4484169999998</c:v>
                </c:pt>
                <c:pt idx="6">
                  <c:v>2385</c:v>
                </c:pt>
                <c:pt idx="7">
                  <c:v>2519</c:v>
                </c:pt>
                <c:pt idx="8">
                  <c:v>2629</c:v>
                </c:pt>
                <c:pt idx="9">
                  <c:v>2748</c:v>
                </c:pt>
                <c:pt idx="10">
                  <c:v>2925</c:v>
                </c:pt>
                <c:pt idx="11">
                  <c:v>3021</c:v>
                </c:pt>
                <c:pt idx="12">
                  <c:v>3133</c:v>
                </c:pt>
                <c:pt idx="13">
                  <c:v>3311</c:v>
                </c:pt>
                <c:pt idx="14">
                  <c:v>3495</c:v>
                </c:pt>
                <c:pt idx="15">
                  <c:v>3689</c:v>
                </c:pt>
                <c:pt idx="16">
                  <c:v>3841</c:v>
                </c:pt>
              </c:numCache>
            </c:numRef>
          </c:val>
        </c:ser>
        <c:ser>
          <c:idx val="7"/>
          <c:order val="2"/>
          <c:tx>
            <c:strRef>
              <c:f>Diesel!$A$10</c:f>
              <c:strCache>
                <c:ptCount val="1"/>
                <c:pt idx="0">
                  <c:v>Capacidade instalada - biodiesel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numRef>
              <c:f>Diesel!$B$2:$AH$2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Diesel!$B$10:$AH$10</c:f>
              <c:numCache>
                <c:formatCode>General</c:formatCode>
                <c:ptCount val="17"/>
                <c:pt idx="1">
                  <c:v>64</c:v>
                </c:pt>
                <c:pt idx="2">
                  <c:v>511</c:v>
                </c:pt>
                <c:pt idx="3">
                  <c:v>2483</c:v>
                </c:pt>
                <c:pt idx="4">
                  <c:v>3656</c:v>
                </c:pt>
                <c:pt idx="5">
                  <c:v>3660</c:v>
                </c:pt>
                <c:pt idx="6">
                  <c:v>5256</c:v>
                </c:pt>
                <c:pt idx="7">
                  <c:v>6430</c:v>
                </c:pt>
                <c:pt idx="8">
                  <c:v>8132.7</c:v>
                </c:pt>
                <c:pt idx="9">
                  <c:v>8132.7</c:v>
                </c:pt>
                <c:pt idx="10">
                  <c:v>8132.7</c:v>
                </c:pt>
                <c:pt idx="11">
                  <c:v>8132.7</c:v>
                </c:pt>
                <c:pt idx="12">
                  <c:v>8132.7</c:v>
                </c:pt>
                <c:pt idx="13">
                  <c:v>8132.7</c:v>
                </c:pt>
                <c:pt idx="14">
                  <c:v>8132.7</c:v>
                </c:pt>
                <c:pt idx="15">
                  <c:v>8132.7</c:v>
                </c:pt>
                <c:pt idx="16">
                  <c:v>8132.7</c:v>
                </c:pt>
              </c:numCache>
            </c:numRef>
          </c:val>
        </c:ser>
        <c:ser>
          <c:idx val="8"/>
          <c:order val="3"/>
          <c:tx>
            <c:strRef>
              <c:f>Diesel!$A$11</c:f>
              <c:strCache>
                <c:ptCount val="1"/>
                <c:pt idx="0">
                  <c:v>Consumo de biodiesel (B20)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  <a:prstDash val="sysDot"/>
            </a:ln>
          </c:spPr>
          <c:marker>
            <c:symbol val="none"/>
          </c:marker>
          <c:cat>
            <c:numRef>
              <c:f>Diesel!$B$2:$AH$2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Diesel!$B$11:$AH$11</c:f>
              <c:numCache>
                <c:formatCode>General</c:formatCode>
                <c:ptCount val="17"/>
                <c:pt idx="8">
                  <c:v>2629</c:v>
                </c:pt>
                <c:pt idx="9">
                  <c:v>3775.5490500000005</c:v>
                </c:pt>
                <c:pt idx="10">
                  <c:v>5163.6258000000034</c:v>
                </c:pt>
                <c:pt idx="11">
                  <c:v>6520.5206000000044</c:v>
                </c:pt>
                <c:pt idx="12">
                  <c:v>7997.7449499999993</c:v>
                </c:pt>
                <c:pt idx="13">
                  <c:v>9752.5627499999991</c:v>
                </c:pt>
                <c:pt idx="14">
                  <c:v>11665.772300000002</c:v>
                </c:pt>
                <c:pt idx="15">
                  <c:v>13766.59915</c:v>
                </c:pt>
                <c:pt idx="16">
                  <c:v>15085.449999999983</c:v>
                </c:pt>
              </c:numCache>
            </c:numRef>
          </c:val>
        </c:ser>
        <c:marker val="1"/>
        <c:axId val="65644416"/>
        <c:axId val="65645952"/>
      </c:lineChart>
      <c:lineChart>
        <c:grouping val="standard"/>
        <c:ser>
          <c:idx val="0"/>
          <c:order val="0"/>
          <c:tx>
            <c:strRef>
              <c:f>Diesel!$A$3</c:f>
              <c:strCache>
                <c:ptCount val="1"/>
                <c:pt idx="0">
                  <c:v>Consumo de óleo diesel</c:v>
                </c:pt>
              </c:strCache>
            </c:strRef>
          </c:tx>
          <c:spPr>
            <a:ln>
              <a:solidFill>
                <a:schemeClr val="tx1">
                  <a:lumMod val="65000"/>
                  <a:lumOff val="35000"/>
                </a:schemeClr>
              </a:solidFill>
              <a:prstDash val="dashDot"/>
            </a:ln>
          </c:spPr>
          <c:marker>
            <c:symbol val="none"/>
          </c:marker>
          <c:cat>
            <c:numRef>
              <c:f>Diesel!$B$2:$AH$2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Diesel!$B$3:$AH$3</c:f>
              <c:numCache>
                <c:formatCode>General</c:formatCode>
                <c:ptCount val="17"/>
                <c:pt idx="0">
                  <c:v>39227</c:v>
                </c:pt>
                <c:pt idx="1">
                  <c:v>39167</c:v>
                </c:pt>
                <c:pt idx="2">
                  <c:v>39007</c:v>
                </c:pt>
                <c:pt idx="3">
                  <c:v>41559</c:v>
                </c:pt>
                <c:pt idx="4">
                  <c:v>44764</c:v>
                </c:pt>
                <c:pt idx="5">
                  <c:v>44298</c:v>
                </c:pt>
                <c:pt idx="6">
                  <c:v>49240</c:v>
                </c:pt>
                <c:pt idx="7">
                  <c:v>49396.91</c:v>
                </c:pt>
                <c:pt idx="8">
                  <c:v>51579.61</c:v>
                </c:pt>
                <c:pt idx="9">
                  <c:v>53936.415000000001</c:v>
                </c:pt>
                <c:pt idx="10">
                  <c:v>57373.619999999995</c:v>
                </c:pt>
                <c:pt idx="11">
                  <c:v>59277.46</c:v>
                </c:pt>
                <c:pt idx="12">
                  <c:v>61521.115000000005</c:v>
                </c:pt>
                <c:pt idx="13">
                  <c:v>65017.085000000006</c:v>
                </c:pt>
                <c:pt idx="14">
                  <c:v>68622.19</c:v>
                </c:pt>
                <c:pt idx="15">
                  <c:v>72455.785000000003</c:v>
                </c:pt>
                <c:pt idx="16">
                  <c:v>75427.25</c:v>
                </c:pt>
              </c:numCache>
            </c:numRef>
          </c:val>
        </c:ser>
        <c:marker val="1"/>
        <c:axId val="65664128"/>
        <c:axId val="65665664"/>
      </c:lineChart>
      <c:catAx>
        <c:axId val="65644416"/>
        <c:scaling>
          <c:orientation val="minMax"/>
        </c:scaling>
        <c:axPos val="b"/>
        <c:numFmt formatCode="General" sourceLinked="1"/>
        <c:majorTickMark val="none"/>
        <c:tickLblPos val="nextTo"/>
        <c:crossAx val="65645952"/>
        <c:crosses val="autoZero"/>
        <c:auto val="1"/>
        <c:lblAlgn val="ctr"/>
        <c:lblOffset val="100"/>
        <c:tickLblSkip val="2"/>
      </c:catAx>
      <c:valAx>
        <c:axId val="656459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65644416"/>
        <c:crosses val="autoZero"/>
        <c:crossBetween val="between"/>
      </c:valAx>
      <c:catAx>
        <c:axId val="65664128"/>
        <c:scaling>
          <c:orientation val="minMax"/>
        </c:scaling>
        <c:delete val="1"/>
        <c:axPos val="b"/>
        <c:numFmt formatCode="General" sourceLinked="1"/>
        <c:tickLblPos val="none"/>
        <c:crossAx val="65665664"/>
        <c:crosses val="autoZero"/>
        <c:auto val="1"/>
        <c:lblAlgn val="ctr"/>
        <c:lblOffset val="100"/>
      </c:catAx>
      <c:valAx>
        <c:axId val="65665664"/>
        <c:scaling>
          <c:orientation val="minMax"/>
          <c:min val="30000"/>
        </c:scaling>
        <c:axPos val="r"/>
        <c:numFmt formatCode="General" sourceLinked="1"/>
        <c:tickLblPos val="nextTo"/>
        <c:spPr>
          <a:ln>
            <a:noFill/>
          </a:ln>
        </c:spPr>
        <c:crossAx val="65664128"/>
        <c:crosses val="max"/>
        <c:crossBetween val="between"/>
        <c:majorUnit val="1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8FFB-2354-4C97-B6DF-4F051D45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7132</TotalTime>
  <Pages>21</Pages>
  <Words>7291</Words>
  <Characters>39377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596</cp:revision>
  <dcterms:created xsi:type="dcterms:W3CDTF">2011-12-06T18:37:00Z</dcterms:created>
  <dcterms:modified xsi:type="dcterms:W3CDTF">2012-01-18T12:29:00Z</dcterms:modified>
</cp:coreProperties>
</file>