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D" w:rsidRDefault="001436ED" w:rsidP="00143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</w:t>
      </w:r>
      <w:r>
        <w:rPr>
          <w:rFonts w:ascii="Times New Roman" w:hAnsi="Times New Roman" w:cs="Times New Roman"/>
          <w:b/>
        </w:rPr>
        <w:t>sta aos comentários do Revisor A</w:t>
      </w:r>
    </w:p>
    <w:p w:rsidR="001436ED" w:rsidRPr="001436ED" w:rsidRDefault="001436ED" w:rsidP="001436ED">
      <w:pPr>
        <w:rPr>
          <w:rFonts w:ascii="Times New Roman" w:hAnsi="Times New Roman" w:cs="Times New Roman"/>
          <w:b/>
        </w:rPr>
      </w:pPr>
    </w:p>
    <w:p w:rsidR="004F194D" w:rsidRPr="004447DE" w:rsidRDefault="00491E3E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A1</w:t>
      </w:r>
      <w:proofErr w:type="gramStart"/>
      <w:r w:rsidRPr="004447DE">
        <w:rPr>
          <w:rFonts w:ascii="Times New Roman" w:hAnsi="Times New Roman" w:cs="Times New Roman"/>
          <w:shd w:val="clear" w:color="auto" w:fill="FFFFFF"/>
        </w:rPr>
        <w:t>) Trabalhar</w:t>
      </w:r>
      <w:proofErr w:type="gramEnd"/>
      <w:r w:rsidRPr="004447DE">
        <w:rPr>
          <w:rFonts w:ascii="Times New Roman" w:hAnsi="Times New Roman" w:cs="Times New Roman"/>
          <w:shd w:val="clear" w:color="auto" w:fill="FFFFFF"/>
        </w:rPr>
        <w:t xml:space="preserve"> um pouco mais a ideia colocada no par. 2 da </w:t>
      </w:r>
      <w:r w:rsidRPr="004447DE">
        <w:rPr>
          <w:rFonts w:ascii="Times New Roman" w:hAnsi="Times New Roman" w:cs="Times New Roman"/>
          <w:i/>
          <w:shd w:val="clear" w:color="auto" w:fill="FFFFFF"/>
        </w:rPr>
        <w:t>Introdução</w:t>
      </w:r>
      <w:r w:rsidRPr="004447DE">
        <w:rPr>
          <w:rFonts w:ascii="Times New Roman" w:hAnsi="Times New Roman" w:cs="Times New Roman"/>
          <w:shd w:val="clear" w:color="auto" w:fill="FFFFFF"/>
        </w:rPr>
        <w:t>.</w:t>
      </w:r>
    </w:p>
    <w:p w:rsidR="00805252" w:rsidRPr="004447DE" w:rsidRDefault="00805252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Crítica acatada. Buscamos especificar melhor os objetivos e as perguntas de base que dão sustentação à argumentação do artigo neste parágrafo – levando em consideração a escassa margem para o desenvolvimento de novas ideias, haja vista o atingimento prévio do limite das 25 páginas máximas para o artigo.</w:t>
      </w:r>
    </w:p>
    <w:p w:rsidR="00491E3E" w:rsidRPr="004447DE" w:rsidRDefault="00491E3E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 xml:space="preserve">A2) Desenvolver um pouco mais a ideia de período </w:t>
      </w:r>
      <w:proofErr w:type="gramStart"/>
      <w:r w:rsidRPr="004447DE">
        <w:rPr>
          <w:rFonts w:ascii="Times New Roman" w:hAnsi="Times New Roman" w:cs="Times New Roman"/>
          <w:shd w:val="clear" w:color="auto" w:fill="FFFFFF"/>
        </w:rPr>
        <w:t>da “pós</w:t>
      </w:r>
      <w:proofErr w:type="gramEnd"/>
      <w:r w:rsidRPr="004447DE">
        <w:rPr>
          <w:rFonts w:ascii="Times New Roman" w:hAnsi="Times New Roman" w:cs="Times New Roman"/>
          <w:shd w:val="clear" w:color="auto" w:fill="FFFFFF"/>
        </w:rPr>
        <w:t xml:space="preserve"> grande indústria”, nas </w:t>
      </w:r>
      <w:r w:rsidRPr="004447DE">
        <w:rPr>
          <w:rFonts w:ascii="Times New Roman" w:hAnsi="Times New Roman" w:cs="Times New Roman"/>
          <w:i/>
          <w:shd w:val="clear" w:color="auto" w:fill="FFFFFF"/>
        </w:rPr>
        <w:t>Considerações Finais</w:t>
      </w:r>
      <w:r w:rsidRPr="004447DE">
        <w:rPr>
          <w:rFonts w:ascii="Times New Roman" w:hAnsi="Times New Roman" w:cs="Times New Roman"/>
          <w:shd w:val="clear" w:color="auto" w:fill="FFFFFF"/>
        </w:rPr>
        <w:t>.</w:t>
      </w:r>
    </w:p>
    <w:p w:rsidR="0021711F" w:rsidRPr="004447DE" w:rsidRDefault="0021711F" w:rsidP="00F6726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Devido à economia exigida do texto</w:t>
      </w:r>
      <w:r w:rsidR="00D858A0" w:rsidRPr="004447DE">
        <w:rPr>
          <w:rFonts w:ascii="Times New Roman" w:hAnsi="Times New Roman" w:cs="Times New Roman"/>
          <w:shd w:val="clear" w:color="auto" w:fill="FFFFFF"/>
        </w:rPr>
        <w:t xml:space="preserve"> (25 páginas)</w:t>
      </w:r>
      <w:r w:rsidRPr="004447DE">
        <w:rPr>
          <w:rFonts w:ascii="Times New Roman" w:hAnsi="Times New Roman" w:cs="Times New Roman"/>
          <w:shd w:val="clear" w:color="auto" w:fill="FFFFFF"/>
        </w:rPr>
        <w:t>, uma vez que só seria possível identificar com precisão a pós-grande indústria por contraste aos momentos anteriores do capitalismo (grande indústria concorrencial e grande indústria monopolista)</w:t>
      </w:r>
      <w:r w:rsidR="00F67266" w:rsidRPr="004447DE">
        <w:rPr>
          <w:rFonts w:ascii="Times New Roman" w:hAnsi="Times New Roman" w:cs="Times New Roman"/>
          <w:shd w:val="clear" w:color="auto" w:fill="FFFFFF"/>
        </w:rPr>
        <w:t xml:space="preserve"> - </w:t>
      </w:r>
      <w:r w:rsidRPr="004447DE">
        <w:rPr>
          <w:rFonts w:ascii="Times New Roman" w:hAnsi="Times New Roman" w:cs="Times New Roman"/>
          <w:shd w:val="clear" w:color="auto" w:fill="FFFFFF"/>
        </w:rPr>
        <w:t>que fazemos de forma resumida no texto - optamos por conduzir o leitor interessado no aprofundamento da definição da pós-grande indústria para o texto de Prado (2005</w:t>
      </w:r>
      <w:r w:rsidR="00F67266" w:rsidRPr="004447DE">
        <w:rPr>
          <w:rFonts w:ascii="Times New Roman" w:hAnsi="Times New Roman" w:cs="Times New Roman"/>
          <w:shd w:val="clear" w:color="auto" w:fill="FFFFFF"/>
        </w:rPr>
        <w:t>a</w:t>
      </w:r>
      <w:r w:rsidRPr="004447DE">
        <w:rPr>
          <w:rFonts w:ascii="Times New Roman" w:hAnsi="Times New Roman" w:cs="Times New Roman"/>
          <w:shd w:val="clear" w:color="auto" w:fill="FFFFFF"/>
        </w:rPr>
        <w:t xml:space="preserve">; 117-137). </w:t>
      </w:r>
      <w:r w:rsidR="00A10F39" w:rsidRPr="004447DE">
        <w:rPr>
          <w:rFonts w:ascii="Times New Roman" w:hAnsi="Times New Roman" w:cs="Times New Roman"/>
          <w:shd w:val="clear" w:color="auto" w:fill="FFFFFF"/>
        </w:rPr>
        <w:t>Para evitar confusões por parte do leitor buscamos, no entanto, evidenciar com maior clareza os propósitos do texto na introdução – quais sejam, os</w:t>
      </w:r>
      <w:r w:rsidR="00D858A0" w:rsidRPr="004447DE">
        <w:rPr>
          <w:rFonts w:ascii="Times New Roman" w:hAnsi="Times New Roman" w:cs="Times New Roman"/>
          <w:shd w:val="clear" w:color="auto" w:fill="FFFFFF"/>
        </w:rPr>
        <w:t xml:space="preserve"> introduzir o leitor na discussão do trabalho imaterial através da apresentação de uma abordagem marxista de amplas consequências</w:t>
      </w:r>
      <w:r w:rsidR="00A10F39" w:rsidRPr="004447DE">
        <w:rPr>
          <w:rFonts w:ascii="Times New Roman" w:hAnsi="Times New Roman" w:cs="Times New Roman"/>
          <w:shd w:val="clear" w:color="auto" w:fill="FFFFFF"/>
        </w:rPr>
        <w:t>. C</w:t>
      </w:r>
      <w:r w:rsidRPr="004447DE">
        <w:rPr>
          <w:rFonts w:ascii="Times New Roman" w:hAnsi="Times New Roman" w:cs="Times New Roman"/>
          <w:shd w:val="clear" w:color="auto" w:fill="FFFFFF"/>
        </w:rPr>
        <w:t xml:space="preserve">remos </w:t>
      </w:r>
      <w:r w:rsidR="00A10F39" w:rsidRPr="004447DE">
        <w:rPr>
          <w:rFonts w:ascii="Times New Roman" w:hAnsi="Times New Roman" w:cs="Times New Roman"/>
          <w:shd w:val="clear" w:color="auto" w:fill="FFFFFF"/>
        </w:rPr>
        <w:t xml:space="preserve">assim </w:t>
      </w:r>
      <w:r w:rsidRPr="004447DE">
        <w:rPr>
          <w:rFonts w:ascii="Times New Roman" w:hAnsi="Times New Roman" w:cs="Times New Roman"/>
          <w:shd w:val="clear" w:color="auto" w:fill="FFFFFF"/>
        </w:rPr>
        <w:t>ser</w:t>
      </w:r>
      <w:r w:rsidR="00A10F39" w:rsidRPr="004447DE">
        <w:rPr>
          <w:rFonts w:ascii="Times New Roman" w:hAnsi="Times New Roman" w:cs="Times New Roman"/>
          <w:shd w:val="clear" w:color="auto" w:fill="FFFFFF"/>
        </w:rPr>
        <w:t>em</w:t>
      </w:r>
      <w:r w:rsidRPr="004447DE">
        <w:rPr>
          <w:rFonts w:ascii="Times New Roman" w:hAnsi="Times New Roman" w:cs="Times New Roman"/>
          <w:shd w:val="clear" w:color="auto" w:fill="FFFFFF"/>
        </w:rPr>
        <w:t xml:space="preserve"> suficiente</w:t>
      </w:r>
      <w:r w:rsidR="00A10F39" w:rsidRPr="004447DE">
        <w:rPr>
          <w:rFonts w:ascii="Times New Roman" w:hAnsi="Times New Roman" w:cs="Times New Roman"/>
          <w:shd w:val="clear" w:color="auto" w:fill="FFFFFF"/>
        </w:rPr>
        <w:t>s</w:t>
      </w:r>
      <w:r w:rsidRPr="004447DE">
        <w:rPr>
          <w:rFonts w:ascii="Times New Roman" w:hAnsi="Times New Roman" w:cs="Times New Roman"/>
          <w:shd w:val="clear" w:color="auto" w:fill="FFFFFF"/>
        </w:rPr>
        <w:t xml:space="preserve"> as características</w:t>
      </w:r>
      <w:r w:rsidR="00A10F39" w:rsidRPr="004447DE">
        <w:rPr>
          <w:rFonts w:ascii="Times New Roman" w:hAnsi="Times New Roman" w:cs="Times New Roman"/>
          <w:shd w:val="clear" w:color="auto" w:fill="FFFFFF"/>
        </w:rPr>
        <w:t xml:space="preserve"> da pós-grande indústria</w:t>
      </w:r>
      <w:r w:rsidRPr="004447DE">
        <w:rPr>
          <w:rFonts w:ascii="Times New Roman" w:hAnsi="Times New Roman" w:cs="Times New Roman"/>
          <w:shd w:val="clear" w:color="auto" w:fill="FFFFFF"/>
        </w:rPr>
        <w:t xml:space="preserve"> indicadas na conclusão</w:t>
      </w:r>
      <w:r w:rsidR="00026D1F" w:rsidRPr="004447DE">
        <w:rPr>
          <w:rFonts w:ascii="Times New Roman" w:hAnsi="Times New Roman" w:cs="Times New Roman"/>
          <w:shd w:val="clear" w:color="auto" w:fill="FFFFFF"/>
        </w:rPr>
        <w:t xml:space="preserve"> (somadas à dissertação mais extensa sobre a mesma na seção 4)</w:t>
      </w:r>
      <w:r w:rsidRPr="004447DE">
        <w:rPr>
          <w:rFonts w:ascii="Times New Roman" w:hAnsi="Times New Roman" w:cs="Times New Roman"/>
          <w:shd w:val="clear" w:color="auto" w:fill="FFFFFF"/>
        </w:rPr>
        <w:t xml:space="preserve">: advento do trabalho imaterial, organização do capital como </w:t>
      </w:r>
      <w:r w:rsidRPr="004447DE">
        <w:rPr>
          <w:rFonts w:ascii="Times New Roman" w:hAnsi="Times New Roman" w:cs="Times New Roman"/>
          <w:i/>
          <w:shd w:val="clear" w:color="auto" w:fill="FFFFFF"/>
        </w:rPr>
        <w:t xml:space="preserve">general </w:t>
      </w:r>
      <w:proofErr w:type="spellStart"/>
      <w:r w:rsidRPr="004447DE">
        <w:rPr>
          <w:rFonts w:ascii="Times New Roman" w:hAnsi="Times New Roman" w:cs="Times New Roman"/>
          <w:i/>
          <w:shd w:val="clear" w:color="auto" w:fill="FFFFFF"/>
        </w:rPr>
        <w:t>intelect</w:t>
      </w:r>
      <w:proofErr w:type="spellEnd"/>
      <w:r w:rsidRPr="004447DE">
        <w:rPr>
          <w:rFonts w:ascii="Times New Roman" w:hAnsi="Times New Roman" w:cs="Times New Roman"/>
          <w:shd w:val="clear" w:color="auto" w:fill="FFFFFF"/>
        </w:rPr>
        <w:t xml:space="preserve">, subsunção formal-intelectual do trabalhador, desmedida do valor devido à impossibilidade de contabilização objetiva, </w:t>
      </w:r>
      <w:r w:rsidR="00F67266" w:rsidRPr="004447DE">
        <w:rPr>
          <w:rFonts w:ascii="Times New Roman" w:hAnsi="Times New Roman" w:cs="Times New Roman"/>
          <w:shd w:val="clear" w:color="auto" w:fill="FFFFFF"/>
        </w:rPr>
        <w:t>incorporação do tempo de não trabalho como um fator no desenvolvimento das forças produtivas.</w:t>
      </w:r>
    </w:p>
    <w:p w:rsidR="00491E3E" w:rsidRPr="004447DE" w:rsidRDefault="00491E3E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A3</w:t>
      </w:r>
      <w:proofErr w:type="gramStart"/>
      <w:r w:rsidRPr="004447DE">
        <w:rPr>
          <w:rFonts w:ascii="Times New Roman" w:hAnsi="Times New Roman" w:cs="Times New Roman"/>
          <w:shd w:val="clear" w:color="auto" w:fill="FFFFFF"/>
        </w:rPr>
        <w:t>) Trazer</w:t>
      </w:r>
      <w:proofErr w:type="gramEnd"/>
      <w:r w:rsidRPr="004447DE">
        <w:rPr>
          <w:rFonts w:ascii="Times New Roman" w:hAnsi="Times New Roman" w:cs="Times New Roman"/>
          <w:shd w:val="clear" w:color="auto" w:fill="FFFFFF"/>
        </w:rPr>
        <w:t xml:space="preserve"> exemplos concretos para o último par. das </w:t>
      </w:r>
      <w:r w:rsidRPr="004447DE">
        <w:rPr>
          <w:rFonts w:ascii="Times New Roman" w:hAnsi="Times New Roman" w:cs="Times New Roman"/>
          <w:i/>
          <w:shd w:val="clear" w:color="auto" w:fill="FFFFFF"/>
        </w:rPr>
        <w:t>Considerações Finais</w:t>
      </w:r>
      <w:r w:rsidRPr="004447DE">
        <w:rPr>
          <w:rFonts w:ascii="Times New Roman" w:hAnsi="Times New Roman" w:cs="Times New Roman"/>
          <w:shd w:val="clear" w:color="auto" w:fill="FFFFFF"/>
        </w:rPr>
        <w:t>.</w:t>
      </w:r>
    </w:p>
    <w:p w:rsidR="00026D1F" w:rsidRPr="004447DE" w:rsidRDefault="00026D1F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Muitos exemplos foram mencionados na seção quatro. No entanto, dado que estes exemplos constituem uma fase da argumentação, não sendo meramente ilustrativos, cremos que deslocá-los ou mesmo repeti-los na conclusão poderia comprometer a argumentação ou ainda tornar o texto repetitivo. A conclusão, desse modo, apenas retoma algumas caraterísticas gerais do que foi melhor desenvolvido na seção 4, seção esta que move o centro da argumentação do artigo.</w:t>
      </w:r>
    </w:p>
    <w:p w:rsidR="00491E3E" w:rsidRPr="004447DE" w:rsidRDefault="00491E3E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A4</w:t>
      </w:r>
      <w:proofErr w:type="gramStart"/>
      <w:r w:rsidRPr="004447DE">
        <w:rPr>
          <w:rFonts w:ascii="Times New Roman" w:hAnsi="Times New Roman" w:cs="Times New Roman"/>
          <w:shd w:val="clear" w:color="auto" w:fill="FFFFFF"/>
        </w:rPr>
        <w:t>) Trocar</w:t>
      </w:r>
      <w:proofErr w:type="gramEnd"/>
      <w:r w:rsidRPr="004447DE">
        <w:rPr>
          <w:rFonts w:ascii="Times New Roman" w:hAnsi="Times New Roman" w:cs="Times New Roman"/>
          <w:shd w:val="clear" w:color="auto" w:fill="FFFFFF"/>
        </w:rPr>
        <w:t xml:space="preserve"> a referência de </w:t>
      </w:r>
      <w:proofErr w:type="spellStart"/>
      <w:r w:rsidRPr="004447DE">
        <w:rPr>
          <w:rFonts w:ascii="Times New Roman" w:hAnsi="Times New Roman" w:cs="Times New Roman"/>
          <w:shd w:val="clear" w:color="auto" w:fill="FFFFFF"/>
        </w:rPr>
        <w:t>Chesnais</w:t>
      </w:r>
      <w:proofErr w:type="spellEnd"/>
      <w:r w:rsidRPr="004447DE">
        <w:rPr>
          <w:rFonts w:ascii="Times New Roman" w:hAnsi="Times New Roman" w:cs="Times New Roman"/>
          <w:shd w:val="clear" w:color="auto" w:fill="FFFFFF"/>
        </w:rPr>
        <w:t xml:space="preserve"> por </w:t>
      </w:r>
      <w:proofErr w:type="spellStart"/>
      <w:r w:rsidRPr="004447DE">
        <w:rPr>
          <w:rFonts w:ascii="Times New Roman" w:hAnsi="Times New Roman" w:cs="Times New Roman"/>
          <w:shd w:val="clear" w:color="auto" w:fill="FFFFFF"/>
        </w:rPr>
        <w:t>Lipietz</w:t>
      </w:r>
      <w:proofErr w:type="spellEnd"/>
      <w:r w:rsidRPr="004447DE">
        <w:rPr>
          <w:rFonts w:ascii="Times New Roman" w:hAnsi="Times New Roman" w:cs="Times New Roman"/>
          <w:shd w:val="clear" w:color="auto" w:fill="FFFFFF"/>
        </w:rPr>
        <w:t>, na nota 9.</w:t>
      </w:r>
    </w:p>
    <w:p w:rsidR="001C2A23" w:rsidRPr="004447DE" w:rsidRDefault="00A72C3C">
      <w:pPr>
        <w:rPr>
          <w:rFonts w:ascii="Times New Roman" w:hAnsi="Times New Roman" w:cs="Times New Roman"/>
          <w:shd w:val="clear" w:color="auto" w:fill="FFFFFF"/>
        </w:rPr>
      </w:pPr>
      <w:r w:rsidRPr="004447DE">
        <w:rPr>
          <w:rFonts w:ascii="Times New Roman" w:hAnsi="Times New Roman" w:cs="Times New Roman"/>
          <w:shd w:val="clear" w:color="auto" w:fill="FFFFFF"/>
        </w:rPr>
        <w:t>Sugestão foi acatada</w:t>
      </w:r>
      <w:r w:rsidR="004447DE">
        <w:rPr>
          <w:rFonts w:ascii="Times New Roman" w:hAnsi="Times New Roman" w:cs="Times New Roman"/>
          <w:shd w:val="clear" w:color="auto" w:fill="FFFFFF"/>
        </w:rPr>
        <w:t xml:space="preserve"> e a substituição foi realizada</w:t>
      </w:r>
      <w:r w:rsidR="001C2A23" w:rsidRPr="004447DE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A5</w:t>
      </w:r>
      <w:proofErr w:type="gramStart"/>
      <w:r w:rsidRPr="004447DE">
        <w:rPr>
          <w:rFonts w:ascii="Times New Roman" w:hAnsi="Times New Roman" w:cs="Times New Roman"/>
        </w:rPr>
        <w:t>) Trabalhar</w:t>
      </w:r>
      <w:proofErr w:type="gramEnd"/>
      <w:r w:rsidRPr="004447DE">
        <w:rPr>
          <w:rFonts w:ascii="Times New Roman" w:hAnsi="Times New Roman" w:cs="Times New Roman"/>
        </w:rPr>
        <w:t xml:space="preserve"> um pouco mais a crise do fordismo.</w:t>
      </w:r>
    </w:p>
    <w:p w:rsidR="00C93640" w:rsidRPr="004447DE" w:rsidRDefault="00A72C3C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A</w:t>
      </w:r>
      <w:r w:rsidR="00C93640" w:rsidRPr="004447DE">
        <w:rPr>
          <w:rFonts w:ascii="Times New Roman" w:hAnsi="Times New Roman" w:cs="Times New Roman"/>
        </w:rPr>
        <w:t>valiamos que para aprofundar a crise do fordismo seria necessário um esforço que</w:t>
      </w:r>
      <w:r w:rsidR="006E5280" w:rsidRPr="004447DE">
        <w:rPr>
          <w:rFonts w:ascii="Times New Roman" w:hAnsi="Times New Roman" w:cs="Times New Roman"/>
        </w:rPr>
        <w:t xml:space="preserve"> nos levaria para além dos objetivos do artigo, uma vez que não pretendemos fazer uma explicação exaustiva das mudanças </w:t>
      </w:r>
      <w:r w:rsidRPr="004447DE">
        <w:rPr>
          <w:rFonts w:ascii="Times New Roman" w:hAnsi="Times New Roman" w:cs="Times New Roman"/>
        </w:rPr>
        <w:t xml:space="preserve">econômicas e </w:t>
      </w:r>
      <w:r w:rsidR="006E5280" w:rsidRPr="004447DE">
        <w:rPr>
          <w:rFonts w:ascii="Times New Roman" w:hAnsi="Times New Roman" w:cs="Times New Roman"/>
        </w:rPr>
        <w:t xml:space="preserve">institucionais acarretadas com a citada crise, mas sim apresentar uma contextualização para o debate teórico em torno do conceito de trabalho imaterial e de seu modo de inserção no capitalismo contemporâneo. 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A6</w:t>
      </w:r>
      <w:proofErr w:type="gramStart"/>
      <w:r w:rsidRPr="004447DE">
        <w:rPr>
          <w:rFonts w:ascii="Times New Roman" w:hAnsi="Times New Roman" w:cs="Times New Roman"/>
        </w:rPr>
        <w:t>) Vincular</w:t>
      </w:r>
      <w:proofErr w:type="gramEnd"/>
      <w:r w:rsidRPr="004447DE">
        <w:rPr>
          <w:rFonts w:ascii="Times New Roman" w:hAnsi="Times New Roman" w:cs="Times New Roman"/>
        </w:rPr>
        <w:t xml:space="preserve"> a política de Reagan e Thatcher com o Consenso de Washington, na página 8, par. 1.</w:t>
      </w:r>
    </w:p>
    <w:p w:rsidR="00BE74F4" w:rsidRPr="004447DE" w:rsidRDefault="00BE74F4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lastRenderedPageBreak/>
        <w:t xml:space="preserve">Sugestão foi acatada. Foi adicionada menção ao Consenso de Washington no contexto </w:t>
      </w:r>
      <w:r w:rsidR="00A72C3C" w:rsidRPr="004447DE">
        <w:rPr>
          <w:rFonts w:ascii="Times New Roman" w:hAnsi="Times New Roman" w:cs="Times New Roman"/>
        </w:rPr>
        <w:t>do papel da política defendida por Reagan e Thatcher de proteção às taxas de lucro.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A7</w:t>
      </w:r>
      <w:proofErr w:type="gramStart"/>
      <w:r w:rsidRPr="004447DE">
        <w:rPr>
          <w:rFonts w:ascii="Times New Roman" w:hAnsi="Times New Roman" w:cs="Times New Roman"/>
        </w:rPr>
        <w:t>) Esclarecer</w:t>
      </w:r>
      <w:proofErr w:type="gramEnd"/>
      <w:r w:rsidRPr="004447DE">
        <w:rPr>
          <w:rFonts w:ascii="Times New Roman" w:hAnsi="Times New Roman" w:cs="Times New Roman"/>
        </w:rPr>
        <w:t xml:space="preserve"> o conceito de descentralização produtiva, na página 8, par. 3.</w:t>
      </w:r>
    </w:p>
    <w:p w:rsidR="00A90FB7" w:rsidRPr="004447DE" w:rsidRDefault="00A90FB7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Sugestão foi acatada. O emprego do conceito foi revisto e substituído por uma referência mais precisa à reorganização da produção em moldes flexíveis</w:t>
      </w:r>
      <w:r w:rsidR="00E73D72" w:rsidRPr="004447DE">
        <w:rPr>
          <w:rFonts w:ascii="Times New Roman" w:hAnsi="Times New Roman" w:cs="Times New Roman"/>
        </w:rPr>
        <w:t>, mais adequadas ao contexto da argumentação. A alteração encontra-se na terceira frase do primeiro parágrafo da página 9.</w:t>
      </w:r>
      <w:r w:rsidRPr="004447DE">
        <w:rPr>
          <w:rFonts w:ascii="Times New Roman" w:hAnsi="Times New Roman" w:cs="Times New Roman"/>
        </w:rPr>
        <w:t xml:space="preserve"> </w:t>
      </w:r>
    </w:p>
    <w:p w:rsidR="00A90FB7" w:rsidRPr="004447DE" w:rsidRDefault="00A90FB7">
      <w:pPr>
        <w:rPr>
          <w:rFonts w:ascii="Times New Roman" w:hAnsi="Times New Roman" w:cs="Times New Roman"/>
        </w:rPr>
      </w:pP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A8</w:t>
      </w:r>
      <w:proofErr w:type="gramStart"/>
      <w:r w:rsidRPr="004447DE">
        <w:rPr>
          <w:rFonts w:ascii="Times New Roman" w:hAnsi="Times New Roman" w:cs="Times New Roman"/>
        </w:rPr>
        <w:t>) Retirar</w:t>
      </w:r>
      <w:proofErr w:type="gramEnd"/>
      <w:r w:rsidRPr="004447DE">
        <w:rPr>
          <w:rFonts w:ascii="Times New Roman" w:hAnsi="Times New Roman" w:cs="Times New Roman"/>
        </w:rPr>
        <w:t xml:space="preserve"> a menção da Terceira Itália como um exemplo da descentralização produtiva.</w:t>
      </w:r>
    </w:p>
    <w:p w:rsidR="00491E3E" w:rsidRDefault="00931DE8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Crítica acatada.</w:t>
      </w:r>
      <w:r w:rsidR="001B65E5" w:rsidRPr="004447DE">
        <w:rPr>
          <w:rFonts w:ascii="Times New Roman" w:hAnsi="Times New Roman" w:cs="Times New Roman"/>
        </w:rPr>
        <w:t xml:space="preserve"> A menção foi retirada.</w:t>
      </w:r>
    </w:p>
    <w:p w:rsidR="001436ED" w:rsidRDefault="001436ED">
      <w:pPr>
        <w:rPr>
          <w:rFonts w:ascii="Times New Roman" w:hAnsi="Times New Roman" w:cs="Times New Roman"/>
        </w:rPr>
      </w:pPr>
    </w:p>
    <w:p w:rsidR="001436ED" w:rsidRPr="001436ED" w:rsidRDefault="00143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Resposta aos comentários do Revisor B</w:t>
      </w:r>
    </w:p>
    <w:p w:rsidR="00491E3E" w:rsidRPr="004447DE" w:rsidRDefault="00491E3E">
      <w:pPr>
        <w:rPr>
          <w:rFonts w:ascii="Times New Roman" w:hAnsi="Times New Roman" w:cs="Times New Roman"/>
        </w:rPr>
      </w:pPr>
      <w:bookmarkStart w:id="0" w:name="_GoBack"/>
      <w:bookmarkEnd w:id="0"/>
      <w:r w:rsidRPr="004447DE">
        <w:rPr>
          <w:rFonts w:ascii="Times New Roman" w:hAnsi="Times New Roman" w:cs="Times New Roman"/>
        </w:rPr>
        <w:t>B1</w:t>
      </w:r>
      <w:proofErr w:type="gramStart"/>
      <w:r w:rsidRPr="004447DE">
        <w:rPr>
          <w:rFonts w:ascii="Times New Roman" w:hAnsi="Times New Roman" w:cs="Times New Roman"/>
        </w:rPr>
        <w:t>) Adicionar</w:t>
      </w:r>
      <w:proofErr w:type="gramEnd"/>
      <w:r w:rsidRPr="004447DE">
        <w:rPr>
          <w:rFonts w:ascii="Times New Roman" w:hAnsi="Times New Roman" w:cs="Times New Roman"/>
        </w:rPr>
        <w:t xml:space="preserve"> referências bibliográficas nas notas.</w:t>
      </w:r>
    </w:p>
    <w:p w:rsidR="001C2A23" w:rsidRPr="004447DE" w:rsidRDefault="001C2A23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Foram adicionadas referências bibliográficas nas notas 1</w:t>
      </w:r>
      <w:r w:rsidR="00BD20C8" w:rsidRPr="004447DE">
        <w:rPr>
          <w:rFonts w:ascii="Times New Roman" w:hAnsi="Times New Roman" w:cs="Times New Roman"/>
        </w:rPr>
        <w:t>, 12 e</w:t>
      </w:r>
      <w:r w:rsidR="00FC5D6B" w:rsidRPr="004447DE">
        <w:rPr>
          <w:rFonts w:ascii="Times New Roman" w:hAnsi="Times New Roman" w:cs="Times New Roman"/>
        </w:rPr>
        <w:t xml:space="preserve"> 16</w:t>
      </w:r>
      <w:r w:rsidR="00BE74F4" w:rsidRPr="004447DE">
        <w:rPr>
          <w:rFonts w:ascii="Times New Roman" w:hAnsi="Times New Roman" w:cs="Times New Roman"/>
        </w:rPr>
        <w:t>, tendo em vista os objetivos mencionados pelo revisor</w:t>
      </w:r>
      <w:r w:rsidR="00FC5D6B" w:rsidRPr="004447DE">
        <w:rPr>
          <w:rFonts w:ascii="Times New Roman" w:hAnsi="Times New Roman" w:cs="Times New Roman"/>
        </w:rPr>
        <w:t>.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B2</w:t>
      </w:r>
      <w:proofErr w:type="gramStart"/>
      <w:r w:rsidRPr="004447DE">
        <w:rPr>
          <w:rFonts w:ascii="Times New Roman" w:hAnsi="Times New Roman" w:cs="Times New Roman"/>
        </w:rPr>
        <w:t>) Resumir</w:t>
      </w:r>
      <w:proofErr w:type="gramEnd"/>
      <w:r w:rsidRPr="004447DE">
        <w:rPr>
          <w:rFonts w:ascii="Times New Roman" w:hAnsi="Times New Roman" w:cs="Times New Roman"/>
        </w:rPr>
        <w:t xml:space="preserve"> o que se repete dos subcapítulos anteriores no subcapítulo 4.</w:t>
      </w:r>
    </w:p>
    <w:p w:rsidR="00026D1F" w:rsidRPr="004447DE" w:rsidRDefault="00A72C3C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A sugestão foi</w:t>
      </w:r>
      <w:r w:rsidR="00026D1F" w:rsidRPr="004447DE">
        <w:rPr>
          <w:rFonts w:ascii="Times New Roman" w:hAnsi="Times New Roman" w:cs="Times New Roman"/>
        </w:rPr>
        <w:t xml:space="preserve"> acatada. Buscamos sintetizar o início da seção 4 a qual relembrava de forma talvez extensa demais a seção 2, haja vista o interlúdio sobre a crise do fordismo na seção 3. Não obstante, buscamos preservar as fases da argumentação desta seção tal como se encontravam, </w:t>
      </w:r>
      <w:r w:rsidR="003E136C" w:rsidRPr="004447DE">
        <w:rPr>
          <w:rFonts w:ascii="Times New Roman" w:hAnsi="Times New Roman" w:cs="Times New Roman"/>
        </w:rPr>
        <w:t>respondendo as</w:t>
      </w:r>
      <w:r w:rsidR="00026D1F" w:rsidRPr="004447DE">
        <w:rPr>
          <w:rFonts w:ascii="Times New Roman" w:hAnsi="Times New Roman" w:cs="Times New Roman"/>
        </w:rPr>
        <w:t xml:space="preserve"> três perguntas colocadas no início da seção, que se alguma forma </w:t>
      </w:r>
      <w:r w:rsidR="003E136C" w:rsidRPr="004447DE">
        <w:rPr>
          <w:rFonts w:ascii="Times New Roman" w:hAnsi="Times New Roman" w:cs="Times New Roman"/>
        </w:rPr>
        <w:t xml:space="preserve">é certo que </w:t>
      </w:r>
      <w:r w:rsidR="00026D1F" w:rsidRPr="004447DE">
        <w:rPr>
          <w:rFonts w:ascii="Times New Roman" w:hAnsi="Times New Roman" w:cs="Times New Roman"/>
        </w:rPr>
        <w:t>retomam a seção 2</w:t>
      </w:r>
      <w:r w:rsidR="003E136C" w:rsidRPr="004447DE">
        <w:rPr>
          <w:rFonts w:ascii="Times New Roman" w:hAnsi="Times New Roman" w:cs="Times New Roman"/>
        </w:rPr>
        <w:t>, acreditamos que o faz</w:t>
      </w:r>
      <w:r w:rsidR="00026D1F" w:rsidRPr="004447DE">
        <w:rPr>
          <w:rFonts w:ascii="Times New Roman" w:hAnsi="Times New Roman" w:cs="Times New Roman"/>
        </w:rPr>
        <w:t xml:space="preserve"> em um nível de aprofundamento e de discussão com autores diversos</w:t>
      </w:r>
      <w:r w:rsidR="003E136C" w:rsidRPr="004447DE">
        <w:rPr>
          <w:rFonts w:ascii="Times New Roman" w:hAnsi="Times New Roman" w:cs="Times New Roman"/>
        </w:rPr>
        <w:t xml:space="preserve"> até então ainda não visto – pois se por um lado a seção 2 já menciona o problema do trabalho imaterial como fator da desmedida do valor, o que fazemos para localizar o leitor, por outro não o expõe como um momento da racionalidade vigente da pós-grande indústria.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B3</w:t>
      </w:r>
      <w:proofErr w:type="gramStart"/>
      <w:r w:rsidRPr="004447DE">
        <w:rPr>
          <w:rFonts w:ascii="Times New Roman" w:hAnsi="Times New Roman" w:cs="Times New Roman"/>
        </w:rPr>
        <w:t>) Trazer</w:t>
      </w:r>
      <w:proofErr w:type="gramEnd"/>
      <w:r w:rsidRPr="004447DE">
        <w:rPr>
          <w:rFonts w:ascii="Times New Roman" w:hAnsi="Times New Roman" w:cs="Times New Roman"/>
        </w:rPr>
        <w:t xml:space="preserve"> alguns argumentos do subcapítulo 4 para as </w:t>
      </w:r>
      <w:r w:rsidRPr="004447DE">
        <w:rPr>
          <w:rFonts w:ascii="Times New Roman" w:hAnsi="Times New Roman" w:cs="Times New Roman"/>
          <w:i/>
        </w:rPr>
        <w:t>Considerações Finais</w:t>
      </w:r>
      <w:r w:rsidRPr="004447DE">
        <w:rPr>
          <w:rFonts w:ascii="Times New Roman" w:hAnsi="Times New Roman" w:cs="Times New Roman"/>
        </w:rPr>
        <w:t>.</w:t>
      </w:r>
    </w:p>
    <w:p w:rsidR="003E136C" w:rsidRPr="004447DE" w:rsidRDefault="003E136C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 xml:space="preserve">Achamos que esse movimento poderia comprometer a compreensão do texto, pois exigiria um deslocamento dos argumentos. Isso porque o artigo se encontra no limite das 25 páginas. Ademais, a seção 4 tem a peculiaridade de discutir de forma próxima com os textos dos autores trabalhados. Nossos argumentos da seção 4 se atrelam de algum modo a discussão com esses autores. Haja visto que a conclusão pretende ser uma compilação geral dessas visões, acreditamos que </w:t>
      </w:r>
      <w:r w:rsidR="007260DE" w:rsidRPr="004447DE">
        <w:rPr>
          <w:rFonts w:ascii="Times New Roman" w:hAnsi="Times New Roman" w:cs="Times New Roman"/>
        </w:rPr>
        <w:t>o lugar mais acertado para esses argumentos continue sendo a seção 4. Ademais, a conclusão não tem a pretensão de encerrar a discussão, mas, como identificado na introdução, apresentar o problema da definição do trabalho imaterial e que problemas estariam ligados ao advento dessa forma de trabalho tomando o viés marxista. Acreditamos que a conclusão, ainda que de forma singela, cumpra os também singelos objetivos anunciados.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>B4</w:t>
      </w:r>
      <w:proofErr w:type="gramStart"/>
      <w:r w:rsidRPr="004447DE">
        <w:rPr>
          <w:rFonts w:ascii="Times New Roman" w:hAnsi="Times New Roman" w:cs="Times New Roman"/>
        </w:rPr>
        <w:t>) Contextualizar</w:t>
      </w:r>
      <w:proofErr w:type="gramEnd"/>
      <w:r w:rsidRPr="004447DE">
        <w:rPr>
          <w:rFonts w:ascii="Times New Roman" w:hAnsi="Times New Roman" w:cs="Times New Roman"/>
        </w:rPr>
        <w:t xml:space="preserve"> historicamente os conceitos de manufatura e de outros que aparecem no texto.</w:t>
      </w:r>
    </w:p>
    <w:p w:rsidR="007260DE" w:rsidRPr="004447DE" w:rsidRDefault="007260D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lastRenderedPageBreak/>
        <w:t xml:space="preserve">Acreditamos que não há espaço, ainda que ela fosse produtiva, para essa discussão no artigo. Buscamos dar contextualização histórica para o momento que acreditamos ser de suma importância para a compreensão do advento do trabalho imaterial: o do fordismo e sua crise. Para isso nos utilizamos de toda a seção dois. Ademais, o conceito de manufatura não exerce um momento lógico </w:t>
      </w:r>
      <w:r w:rsidR="00FC5D6B" w:rsidRPr="004447DE">
        <w:rPr>
          <w:rFonts w:ascii="Times New Roman" w:hAnsi="Times New Roman" w:cs="Times New Roman"/>
        </w:rPr>
        <w:t>essencial n</w:t>
      </w:r>
      <w:r w:rsidRPr="004447DE">
        <w:rPr>
          <w:rFonts w:ascii="Times New Roman" w:hAnsi="Times New Roman" w:cs="Times New Roman"/>
        </w:rPr>
        <w:t>a argumentação do texto, sendo buscado para elucidar apenas uma forma de trabalho no qual as atividades subjetivas estão incluídas</w:t>
      </w:r>
      <w:r w:rsidR="00FC5D6B" w:rsidRPr="004447DE">
        <w:rPr>
          <w:rFonts w:ascii="Times New Roman" w:hAnsi="Times New Roman" w:cs="Times New Roman"/>
        </w:rPr>
        <w:t xml:space="preserve">, mas de forma autônoma, onde o sujeito é suporte da produção, o que não deve ser confundido com a relação que o trabalhador tem com a produção na pós-grande indústria, onde esse se insere como servidor da produção, “guardião da máquina”. De todo modo, remetemos o leitor para o cap. XII d’O Capital, na nota 16, “Divisão do trabalho e manufatura”, onde essa questão pode ser aprofundada e contextualizada. </w:t>
      </w:r>
    </w:p>
    <w:p w:rsidR="00491E3E" w:rsidRPr="004447DE" w:rsidRDefault="00491E3E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 xml:space="preserve">B5) </w:t>
      </w:r>
      <w:r w:rsidR="00A86439" w:rsidRPr="004447DE">
        <w:rPr>
          <w:rFonts w:ascii="Times New Roman" w:hAnsi="Times New Roman" w:cs="Times New Roman"/>
        </w:rPr>
        <w:t>Consertar a confusão entre o conceito de “mercado” e de “capitalismo” feito no terceiro par. do subcapítulo de número 2.</w:t>
      </w:r>
    </w:p>
    <w:p w:rsidR="00A86439" w:rsidRPr="004447DE" w:rsidRDefault="00C53E48">
      <w:pPr>
        <w:rPr>
          <w:rFonts w:ascii="Times New Roman" w:hAnsi="Times New Roman" w:cs="Times New Roman"/>
        </w:rPr>
      </w:pPr>
      <w:r w:rsidRPr="004447DE">
        <w:rPr>
          <w:rFonts w:ascii="Times New Roman" w:hAnsi="Times New Roman" w:cs="Times New Roman"/>
        </w:rPr>
        <w:t xml:space="preserve">Crítica acatada. </w:t>
      </w:r>
      <w:r w:rsidR="00225F2E" w:rsidRPr="004447DE">
        <w:rPr>
          <w:rFonts w:ascii="Times New Roman" w:hAnsi="Times New Roman" w:cs="Times New Roman"/>
        </w:rPr>
        <w:t xml:space="preserve">Apesar da impossibilidade de se estender acerca dos problemas da ascensão do capitalismo em suas diversas fases e relações com o mercado, buscamos evitar a identificação entre os termos focando naquilo que nos interessa no argumento: o movimento de socialização do trabalho, de uma concepção abstrata, de intercâmbio isolado com a natureza, </w:t>
      </w:r>
      <w:r w:rsidR="00511288" w:rsidRPr="004447DE">
        <w:rPr>
          <w:rFonts w:ascii="Times New Roman" w:hAnsi="Times New Roman" w:cs="Times New Roman"/>
        </w:rPr>
        <w:t xml:space="preserve">onde se fundamenta a noção de valor de uso, </w:t>
      </w:r>
      <w:r w:rsidR="00225F2E" w:rsidRPr="004447DE">
        <w:rPr>
          <w:rFonts w:ascii="Times New Roman" w:hAnsi="Times New Roman" w:cs="Times New Roman"/>
        </w:rPr>
        <w:t xml:space="preserve">para uma concepção </w:t>
      </w:r>
      <w:r w:rsidR="00511288" w:rsidRPr="004447DE">
        <w:rPr>
          <w:rFonts w:ascii="Times New Roman" w:hAnsi="Times New Roman" w:cs="Times New Roman"/>
        </w:rPr>
        <w:t>concreta, que envolve a intermediação social e o reconhecimento mútuo dos cidadãos, onde se fundamenta a noção de valor de troca.</w:t>
      </w:r>
    </w:p>
    <w:p w:rsidR="00AA0F46" w:rsidRPr="004447DE" w:rsidRDefault="00AA0F46">
      <w:pPr>
        <w:rPr>
          <w:rFonts w:ascii="Times New Roman" w:hAnsi="Times New Roman" w:cs="Times New Roman"/>
        </w:rPr>
      </w:pPr>
    </w:p>
    <w:sectPr w:rsidR="00AA0F46" w:rsidRPr="004447DE" w:rsidSect="00332E2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3ECD"/>
    <w:rsid w:val="00026D1F"/>
    <w:rsid w:val="00056DD3"/>
    <w:rsid w:val="000D45BF"/>
    <w:rsid w:val="001407E5"/>
    <w:rsid w:val="001436ED"/>
    <w:rsid w:val="00156BCE"/>
    <w:rsid w:val="0018209F"/>
    <w:rsid w:val="001B28DE"/>
    <w:rsid w:val="001B65E5"/>
    <w:rsid w:val="001C2A23"/>
    <w:rsid w:val="001D46C3"/>
    <w:rsid w:val="0021711F"/>
    <w:rsid w:val="00225F2E"/>
    <w:rsid w:val="002B1ED7"/>
    <w:rsid w:val="002F0810"/>
    <w:rsid w:val="00332E2B"/>
    <w:rsid w:val="003A5CCE"/>
    <w:rsid w:val="003E136C"/>
    <w:rsid w:val="004447DE"/>
    <w:rsid w:val="00491E3E"/>
    <w:rsid w:val="004C44F3"/>
    <w:rsid w:val="004E4427"/>
    <w:rsid w:val="004F194D"/>
    <w:rsid w:val="00511288"/>
    <w:rsid w:val="00530C6E"/>
    <w:rsid w:val="005F74FB"/>
    <w:rsid w:val="006C6A83"/>
    <w:rsid w:val="006E5280"/>
    <w:rsid w:val="006E6179"/>
    <w:rsid w:val="007260DE"/>
    <w:rsid w:val="007510A1"/>
    <w:rsid w:val="0076013D"/>
    <w:rsid w:val="00805252"/>
    <w:rsid w:val="0085434A"/>
    <w:rsid w:val="00931DE8"/>
    <w:rsid w:val="009D3ECD"/>
    <w:rsid w:val="00A10F39"/>
    <w:rsid w:val="00A72C3C"/>
    <w:rsid w:val="00A86439"/>
    <w:rsid w:val="00A90FB7"/>
    <w:rsid w:val="00AA0F46"/>
    <w:rsid w:val="00BD0932"/>
    <w:rsid w:val="00BD20C8"/>
    <w:rsid w:val="00BE74F4"/>
    <w:rsid w:val="00BF5A4E"/>
    <w:rsid w:val="00C53E48"/>
    <w:rsid w:val="00C93640"/>
    <w:rsid w:val="00C93B29"/>
    <w:rsid w:val="00D858A0"/>
    <w:rsid w:val="00E00DA0"/>
    <w:rsid w:val="00E73D72"/>
    <w:rsid w:val="00E96BD5"/>
    <w:rsid w:val="00F67266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52D4"/>
  <w15:docId w15:val="{E1EAC1E2-5490-4D08-A907-F055D095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2E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1127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Schonhofen Longoni</dc:creator>
  <cp:keywords/>
  <dc:description/>
  <cp:lastModifiedBy>Windows User</cp:lastModifiedBy>
  <cp:revision>26</cp:revision>
  <dcterms:created xsi:type="dcterms:W3CDTF">2017-05-19T12:37:00Z</dcterms:created>
  <dcterms:modified xsi:type="dcterms:W3CDTF">2017-05-29T18:52:00Z</dcterms:modified>
</cp:coreProperties>
</file>