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FB" w:rsidRPr="002C7F50" w:rsidRDefault="008E0EFB" w:rsidP="00440234">
      <w:pPr>
        <w:spacing w:after="0"/>
        <w:jc w:val="both"/>
        <w:rPr>
          <w:rFonts w:ascii="Garamond" w:hAnsi="Garamond"/>
          <w:i/>
          <w:sz w:val="24"/>
          <w:szCs w:val="24"/>
        </w:rPr>
      </w:pPr>
      <w:r w:rsidRPr="002C7F50">
        <w:rPr>
          <w:rFonts w:ascii="Garamond" w:hAnsi="Garamond"/>
          <w:i/>
          <w:sz w:val="24"/>
          <w:szCs w:val="24"/>
        </w:rPr>
        <w:t>Prezado Editor,</w:t>
      </w:r>
    </w:p>
    <w:p w:rsidR="008E0EFB" w:rsidRPr="002C7F50" w:rsidRDefault="008E0EFB" w:rsidP="00440234">
      <w:pPr>
        <w:spacing w:after="0"/>
        <w:ind w:firstLine="708"/>
        <w:jc w:val="both"/>
        <w:rPr>
          <w:rFonts w:ascii="Garamond" w:hAnsi="Garamond"/>
          <w:i/>
          <w:sz w:val="24"/>
          <w:szCs w:val="24"/>
        </w:rPr>
      </w:pPr>
    </w:p>
    <w:p w:rsidR="008E0EFB" w:rsidRPr="002C7F50" w:rsidRDefault="00310943" w:rsidP="00440234">
      <w:pPr>
        <w:spacing w:after="0"/>
        <w:ind w:firstLine="708"/>
        <w:jc w:val="both"/>
        <w:rPr>
          <w:rFonts w:ascii="Garamond" w:hAnsi="Garamond"/>
          <w:i/>
          <w:sz w:val="24"/>
          <w:szCs w:val="24"/>
        </w:rPr>
      </w:pPr>
      <w:r w:rsidRPr="002C7F50">
        <w:rPr>
          <w:rFonts w:ascii="Garamond" w:hAnsi="Garamond"/>
          <w:i/>
          <w:sz w:val="24"/>
          <w:szCs w:val="24"/>
        </w:rPr>
        <w:t>G</w:t>
      </w:r>
      <w:r w:rsidR="008E0EFB" w:rsidRPr="002C7F50">
        <w:rPr>
          <w:rFonts w:ascii="Garamond" w:hAnsi="Garamond"/>
          <w:i/>
          <w:sz w:val="24"/>
          <w:szCs w:val="24"/>
        </w:rPr>
        <w:t>ostaríamos</w:t>
      </w:r>
      <w:r w:rsidR="004D5D44" w:rsidRPr="002C7F50">
        <w:rPr>
          <w:rFonts w:ascii="Garamond" w:hAnsi="Garamond"/>
          <w:i/>
          <w:sz w:val="24"/>
          <w:szCs w:val="24"/>
        </w:rPr>
        <w:t xml:space="preserve"> </w:t>
      </w:r>
      <w:r w:rsidR="00BA03B7" w:rsidRPr="002C7F50">
        <w:rPr>
          <w:rFonts w:ascii="Garamond" w:hAnsi="Garamond"/>
          <w:i/>
          <w:sz w:val="24"/>
          <w:szCs w:val="24"/>
        </w:rPr>
        <w:t xml:space="preserve">inicialmente </w:t>
      </w:r>
      <w:r w:rsidR="008E0EFB" w:rsidRPr="002C7F50">
        <w:rPr>
          <w:rFonts w:ascii="Garamond" w:hAnsi="Garamond"/>
          <w:i/>
          <w:sz w:val="24"/>
          <w:szCs w:val="24"/>
        </w:rPr>
        <w:t>de agradece</w:t>
      </w:r>
      <w:r w:rsidR="004D5D44" w:rsidRPr="002C7F50">
        <w:rPr>
          <w:rFonts w:ascii="Garamond" w:hAnsi="Garamond"/>
          <w:i/>
          <w:sz w:val="24"/>
          <w:szCs w:val="24"/>
        </w:rPr>
        <w:t>r</w:t>
      </w:r>
      <w:r w:rsidR="008E0EFB" w:rsidRPr="002C7F50">
        <w:rPr>
          <w:rFonts w:ascii="Garamond" w:hAnsi="Garamond"/>
          <w:i/>
          <w:sz w:val="24"/>
          <w:szCs w:val="24"/>
        </w:rPr>
        <w:t xml:space="preserve"> as contribuições</w:t>
      </w:r>
      <w:r w:rsidR="002C7F50" w:rsidRPr="002C7F50">
        <w:rPr>
          <w:rFonts w:ascii="Garamond" w:hAnsi="Garamond"/>
          <w:i/>
          <w:sz w:val="24"/>
          <w:szCs w:val="24"/>
        </w:rPr>
        <w:t xml:space="preserve"> e </w:t>
      </w:r>
      <w:r w:rsidR="008E0EFB" w:rsidRPr="002C7F50">
        <w:rPr>
          <w:rFonts w:ascii="Garamond" w:hAnsi="Garamond"/>
          <w:i/>
          <w:sz w:val="24"/>
          <w:szCs w:val="24"/>
        </w:rPr>
        <w:t xml:space="preserve">sugestões para a melhoria do </w:t>
      </w:r>
      <w:r w:rsidR="002C7F50" w:rsidRPr="002C7F50">
        <w:rPr>
          <w:rFonts w:ascii="Garamond" w:hAnsi="Garamond"/>
          <w:i/>
          <w:sz w:val="24"/>
          <w:szCs w:val="24"/>
        </w:rPr>
        <w:t xml:space="preserve">nosso </w:t>
      </w:r>
      <w:r w:rsidR="008E0EFB" w:rsidRPr="002C7F50">
        <w:rPr>
          <w:rFonts w:ascii="Garamond" w:hAnsi="Garamond"/>
          <w:i/>
          <w:sz w:val="24"/>
          <w:szCs w:val="24"/>
        </w:rPr>
        <w:t xml:space="preserve">trabalho. </w:t>
      </w:r>
    </w:p>
    <w:p w:rsidR="008E0EFB" w:rsidRPr="002C7F50" w:rsidRDefault="008E0EFB" w:rsidP="00440234">
      <w:pPr>
        <w:spacing w:after="0"/>
        <w:jc w:val="both"/>
        <w:rPr>
          <w:rFonts w:ascii="Garamond" w:hAnsi="Garamond"/>
          <w:sz w:val="24"/>
          <w:szCs w:val="24"/>
        </w:rPr>
      </w:pPr>
    </w:p>
    <w:p w:rsidR="00BA03B7" w:rsidRPr="002C7F50" w:rsidRDefault="00D02B46" w:rsidP="00310943">
      <w:pPr>
        <w:spacing w:after="0"/>
        <w:jc w:val="both"/>
        <w:rPr>
          <w:rFonts w:ascii="Garamond" w:eastAsia="Times New Roman" w:hAnsi="Garamond"/>
          <w:i/>
          <w:sz w:val="24"/>
          <w:szCs w:val="24"/>
          <w:lang w:eastAsia="pt-BR"/>
        </w:rPr>
      </w:pPr>
      <w:r w:rsidRPr="002C7F50">
        <w:rPr>
          <w:rFonts w:ascii="Garamond" w:hAnsi="Garamond"/>
          <w:b/>
          <w:sz w:val="24"/>
          <w:szCs w:val="24"/>
        </w:rPr>
        <w:t>Decisão Editorial sobre o</w:t>
      </w:r>
      <w:r w:rsidR="008E0EFB" w:rsidRPr="002C7F50">
        <w:rPr>
          <w:rFonts w:ascii="Garamond" w:hAnsi="Garamond"/>
          <w:b/>
          <w:sz w:val="24"/>
          <w:szCs w:val="24"/>
        </w:rPr>
        <w:t xml:space="preserve"> artigo</w:t>
      </w:r>
      <w:r w:rsidR="00310943" w:rsidRPr="002C7F50">
        <w:rPr>
          <w:rFonts w:ascii="Garamond" w:hAnsi="Garamond"/>
          <w:i/>
          <w:sz w:val="24"/>
          <w:szCs w:val="24"/>
        </w:rPr>
        <w:t>:</w:t>
      </w:r>
      <w:r w:rsidR="00440234" w:rsidRPr="002C7F50">
        <w:rPr>
          <w:rFonts w:ascii="Garamond" w:hAnsi="Garamond"/>
          <w:i/>
          <w:sz w:val="24"/>
          <w:szCs w:val="24"/>
        </w:rPr>
        <w:t xml:space="preserve"> </w:t>
      </w:r>
      <w:r w:rsidR="00310943" w:rsidRPr="002C7F50">
        <w:rPr>
          <w:rFonts w:ascii="Garamond" w:eastAsia="Times New Roman" w:hAnsi="Garamond"/>
          <w:i/>
          <w:sz w:val="24"/>
          <w:szCs w:val="24"/>
          <w:lang w:eastAsia="pt-BR"/>
        </w:rPr>
        <w:t>Foi tomada uma decisão sobre o</w:t>
      </w:r>
      <w:r w:rsidRPr="002C7F50">
        <w:rPr>
          <w:rFonts w:ascii="Garamond" w:eastAsia="Times New Roman" w:hAnsi="Garamond"/>
          <w:i/>
          <w:sz w:val="24"/>
          <w:szCs w:val="24"/>
          <w:lang w:eastAsia="pt-BR"/>
        </w:rPr>
        <w:t xml:space="preserve"> artigo submetido </w:t>
      </w:r>
      <w:proofErr w:type="gramStart"/>
      <w:r w:rsidRPr="002C7F50">
        <w:rPr>
          <w:rFonts w:ascii="Garamond" w:eastAsia="Times New Roman" w:hAnsi="Garamond"/>
          <w:i/>
          <w:sz w:val="24"/>
          <w:szCs w:val="24"/>
          <w:lang w:eastAsia="pt-BR"/>
        </w:rPr>
        <w:t>à</w:t>
      </w:r>
      <w:proofErr w:type="gramEnd"/>
      <w:r w:rsidRPr="002C7F50">
        <w:rPr>
          <w:rFonts w:ascii="Garamond" w:eastAsia="Times New Roman" w:hAnsi="Garamond"/>
          <w:i/>
          <w:sz w:val="24"/>
          <w:szCs w:val="24"/>
          <w:lang w:eastAsia="pt-BR"/>
        </w:rPr>
        <w:t xml:space="preserve"> Ensaios FEE:</w:t>
      </w:r>
      <w:r w:rsidR="00310943" w:rsidRPr="002C7F50">
        <w:rPr>
          <w:rFonts w:ascii="Garamond" w:eastAsia="Times New Roman" w:hAnsi="Garamond"/>
          <w:i/>
          <w:sz w:val="24"/>
          <w:szCs w:val="24"/>
          <w:lang w:eastAsia="pt-BR"/>
        </w:rPr>
        <w:t xml:space="preserve"> "Impactos da abertura comercial e a contribuição dos diferenciais de escolaridade sobre o nível de renda dos Municípios Cearenses". </w:t>
      </w:r>
    </w:p>
    <w:p w:rsidR="00BA03B7" w:rsidRPr="002C7F50" w:rsidRDefault="00BA03B7" w:rsidP="00310943">
      <w:pPr>
        <w:spacing w:after="0"/>
        <w:jc w:val="both"/>
        <w:rPr>
          <w:rFonts w:ascii="Garamond" w:eastAsia="Times New Roman" w:hAnsi="Garamond"/>
          <w:i/>
          <w:sz w:val="24"/>
          <w:szCs w:val="24"/>
          <w:lang w:eastAsia="pt-BR"/>
        </w:rPr>
      </w:pPr>
    </w:p>
    <w:p w:rsidR="00310943"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i/>
          <w:sz w:val="24"/>
          <w:szCs w:val="24"/>
          <w:lang w:eastAsia="pt-BR"/>
        </w:rPr>
        <w:t>A decisão é: Aceitar, mediante revisões obrigatórias.</w:t>
      </w:r>
    </w:p>
    <w:p w:rsidR="00310943" w:rsidRPr="002C7F50" w:rsidRDefault="00310943" w:rsidP="00440234">
      <w:pPr>
        <w:spacing w:after="0"/>
        <w:jc w:val="both"/>
        <w:rPr>
          <w:rFonts w:ascii="Garamond" w:hAnsi="Garamond"/>
          <w:sz w:val="24"/>
          <w:szCs w:val="24"/>
        </w:rPr>
      </w:pPr>
    </w:p>
    <w:p w:rsidR="00BA03B7" w:rsidRPr="002C7F50" w:rsidRDefault="00BA03B7" w:rsidP="00BA03B7">
      <w:pPr>
        <w:spacing w:after="0"/>
        <w:ind w:firstLine="708"/>
        <w:jc w:val="both"/>
        <w:rPr>
          <w:rFonts w:ascii="Garamond" w:hAnsi="Garamond"/>
          <w:i/>
          <w:sz w:val="24"/>
          <w:szCs w:val="24"/>
        </w:rPr>
      </w:pPr>
      <w:r w:rsidRPr="002C7F50">
        <w:rPr>
          <w:rFonts w:ascii="Garamond" w:hAnsi="Garamond"/>
          <w:i/>
          <w:sz w:val="24"/>
          <w:szCs w:val="24"/>
        </w:rPr>
        <w:t xml:space="preserve">Segue abaixo uma carta com os pontos levantados pelos </w:t>
      </w:r>
      <w:proofErr w:type="spellStart"/>
      <w:r w:rsidRPr="002C7F50">
        <w:rPr>
          <w:rFonts w:ascii="Garamond" w:hAnsi="Garamond"/>
          <w:i/>
          <w:sz w:val="24"/>
          <w:szCs w:val="24"/>
        </w:rPr>
        <w:t>pareceristas</w:t>
      </w:r>
      <w:proofErr w:type="spellEnd"/>
      <w:r w:rsidRPr="002C7F50">
        <w:rPr>
          <w:rFonts w:ascii="Garamond" w:hAnsi="Garamond"/>
          <w:i/>
          <w:sz w:val="24"/>
          <w:szCs w:val="24"/>
        </w:rPr>
        <w:t xml:space="preserve"> e as respectivas alterações.</w:t>
      </w:r>
      <w:r w:rsidR="00A07E10" w:rsidRPr="002C7F50">
        <w:rPr>
          <w:rFonts w:ascii="Garamond" w:hAnsi="Garamond"/>
          <w:i/>
          <w:sz w:val="24"/>
          <w:szCs w:val="24"/>
        </w:rPr>
        <w:t xml:space="preserve"> Vale ressaltar que essas alterações estão realçadas em amarelo no artigo, como solicitado.</w:t>
      </w:r>
    </w:p>
    <w:p w:rsidR="00573689" w:rsidRPr="002C7F50" w:rsidRDefault="00573689" w:rsidP="00440234">
      <w:pPr>
        <w:spacing w:after="0"/>
        <w:rPr>
          <w:rFonts w:ascii="Garamond" w:hAnsi="Garamond"/>
          <w:sz w:val="24"/>
          <w:szCs w:val="24"/>
        </w:rPr>
      </w:pPr>
    </w:p>
    <w:p w:rsidR="00310943" w:rsidRPr="002C7F50" w:rsidRDefault="00310943" w:rsidP="00310943">
      <w:pPr>
        <w:spacing w:after="0"/>
        <w:jc w:val="both"/>
        <w:rPr>
          <w:rFonts w:ascii="Garamond" w:eastAsia="Times New Roman" w:hAnsi="Garamond"/>
          <w:b/>
          <w:sz w:val="24"/>
          <w:szCs w:val="24"/>
          <w:lang w:eastAsia="pt-BR"/>
        </w:rPr>
      </w:pPr>
      <w:proofErr w:type="spellStart"/>
      <w:r w:rsidRPr="002C7F50">
        <w:rPr>
          <w:rFonts w:ascii="Garamond" w:eastAsia="Times New Roman" w:hAnsi="Garamond"/>
          <w:b/>
          <w:sz w:val="24"/>
          <w:szCs w:val="24"/>
          <w:lang w:eastAsia="pt-BR"/>
        </w:rPr>
        <w:t>Parecerista</w:t>
      </w:r>
      <w:proofErr w:type="spellEnd"/>
      <w:r w:rsidRPr="002C7F50">
        <w:rPr>
          <w:rFonts w:ascii="Garamond" w:eastAsia="Times New Roman" w:hAnsi="Garamond"/>
          <w:b/>
          <w:sz w:val="24"/>
          <w:szCs w:val="24"/>
          <w:lang w:eastAsia="pt-BR"/>
        </w:rPr>
        <w:t xml:space="preserve"> A:</w:t>
      </w:r>
    </w:p>
    <w:p w:rsidR="00310943"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br/>
        <w:t>1</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xml:space="preserve">- Refazer o </w:t>
      </w:r>
      <w:r w:rsidR="00844293" w:rsidRPr="002C7F50">
        <w:rPr>
          <w:rFonts w:ascii="Garamond" w:eastAsia="Times New Roman" w:hAnsi="Garamond"/>
          <w:sz w:val="24"/>
          <w:szCs w:val="24"/>
          <w:lang w:eastAsia="pt-BR"/>
        </w:rPr>
        <w:t>abstract</w:t>
      </w:r>
      <w:r w:rsidRPr="002C7F50">
        <w:rPr>
          <w:rFonts w:ascii="Garamond" w:eastAsia="Times New Roman" w:hAnsi="Garamond"/>
          <w:sz w:val="24"/>
          <w:szCs w:val="24"/>
          <w:lang w:eastAsia="pt-BR"/>
        </w:rPr>
        <w:t xml:space="preserve">. Dois pontos chamam a atenção: </w:t>
      </w:r>
      <w:proofErr w:type="spellStart"/>
      <w:r w:rsidRPr="002C7F50">
        <w:rPr>
          <w:rFonts w:ascii="Garamond" w:eastAsia="Times New Roman" w:hAnsi="Garamond"/>
          <w:sz w:val="24"/>
          <w:szCs w:val="24"/>
          <w:lang w:eastAsia="pt-BR"/>
        </w:rPr>
        <w:t>middle</w:t>
      </w:r>
      <w:proofErr w:type="spellEnd"/>
      <w:r w:rsidRPr="002C7F50">
        <w:rPr>
          <w:rFonts w:ascii="Garamond" w:eastAsia="Times New Roman" w:hAnsi="Garamond"/>
          <w:sz w:val="24"/>
          <w:szCs w:val="24"/>
          <w:lang w:eastAsia="pt-BR"/>
        </w:rPr>
        <w:t xml:space="preserve"> </w:t>
      </w:r>
      <w:proofErr w:type="spellStart"/>
      <w:r w:rsidRPr="002C7F50">
        <w:rPr>
          <w:rFonts w:ascii="Garamond" w:eastAsia="Times New Roman" w:hAnsi="Garamond"/>
          <w:sz w:val="24"/>
          <w:szCs w:val="24"/>
          <w:lang w:eastAsia="pt-BR"/>
        </w:rPr>
        <w:t>school</w:t>
      </w:r>
      <w:proofErr w:type="spellEnd"/>
      <w:r w:rsidRPr="002C7F50">
        <w:rPr>
          <w:rFonts w:ascii="Garamond" w:eastAsia="Times New Roman" w:hAnsi="Garamond"/>
          <w:sz w:val="24"/>
          <w:szCs w:val="24"/>
          <w:lang w:eastAsia="pt-BR"/>
        </w:rPr>
        <w:t xml:space="preserve"> não é ensino médio. O próprio autor utiliza high </w:t>
      </w:r>
      <w:proofErr w:type="spellStart"/>
      <w:r w:rsidRPr="002C7F50">
        <w:rPr>
          <w:rFonts w:ascii="Garamond" w:eastAsia="Times New Roman" w:hAnsi="Garamond"/>
          <w:sz w:val="24"/>
          <w:szCs w:val="24"/>
          <w:lang w:eastAsia="pt-BR"/>
        </w:rPr>
        <w:t>school</w:t>
      </w:r>
      <w:proofErr w:type="spellEnd"/>
      <w:r w:rsidRPr="002C7F50">
        <w:rPr>
          <w:rFonts w:ascii="Garamond" w:eastAsia="Times New Roman" w:hAnsi="Garamond"/>
          <w:sz w:val="24"/>
          <w:szCs w:val="24"/>
          <w:lang w:eastAsia="pt-BR"/>
        </w:rPr>
        <w:t xml:space="preserve"> posteriormente. Outro exemplo é </w:t>
      </w:r>
      <w:proofErr w:type="gramStart"/>
      <w:r w:rsidRPr="002C7F50">
        <w:rPr>
          <w:rFonts w:ascii="Garamond" w:eastAsia="Times New Roman" w:hAnsi="Garamond"/>
          <w:sz w:val="24"/>
          <w:szCs w:val="24"/>
          <w:lang w:eastAsia="pt-BR"/>
        </w:rPr>
        <w:t xml:space="preserve">“ </w:t>
      </w:r>
      <w:proofErr w:type="spellStart"/>
      <w:proofErr w:type="gramEnd"/>
      <w:r w:rsidRPr="002C7F50">
        <w:rPr>
          <w:rFonts w:ascii="Garamond" w:eastAsia="Times New Roman" w:hAnsi="Garamond"/>
          <w:sz w:val="24"/>
          <w:szCs w:val="24"/>
          <w:lang w:eastAsia="pt-BR"/>
        </w:rPr>
        <w:t>municipalities</w:t>
      </w:r>
      <w:proofErr w:type="spellEnd"/>
      <w:r w:rsidRPr="002C7F50">
        <w:rPr>
          <w:rFonts w:ascii="Garamond" w:eastAsia="Times New Roman" w:hAnsi="Garamond"/>
          <w:sz w:val="24"/>
          <w:szCs w:val="24"/>
          <w:lang w:eastAsia="pt-BR"/>
        </w:rPr>
        <w:t xml:space="preserve"> </w:t>
      </w:r>
      <w:proofErr w:type="spellStart"/>
      <w:r w:rsidRPr="002C7F50">
        <w:rPr>
          <w:rFonts w:ascii="Garamond" w:eastAsia="Times New Roman" w:hAnsi="Garamond"/>
          <w:sz w:val="24"/>
          <w:szCs w:val="24"/>
          <w:lang w:eastAsia="pt-BR"/>
        </w:rPr>
        <w:t>with</w:t>
      </w:r>
      <w:proofErr w:type="spellEnd"/>
      <w:r w:rsidRPr="002C7F50">
        <w:rPr>
          <w:rFonts w:ascii="Garamond" w:eastAsia="Times New Roman" w:hAnsi="Garamond"/>
          <w:sz w:val="24"/>
          <w:szCs w:val="24"/>
          <w:lang w:eastAsia="pt-BR"/>
        </w:rPr>
        <w:t xml:space="preserve"> </w:t>
      </w:r>
      <w:proofErr w:type="spellStart"/>
      <w:r w:rsidRPr="002C7F50">
        <w:rPr>
          <w:rFonts w:ascii="Garamond" w:eastAsia="Times New Roman" w:hAnsi="Garamond"/>
          <w:sz w:val="24"/>
          <w:szCs w:val="24"/>
          <w:lang w:eastAsia="pt-BR"/>
        </w:rPr>
        <w:t>less</w:t>
      </w:r>
      <w:proofErr w:type="spellEnd"/>
      <w:r w:rsidRPr="002C7F50">
        <w:rPr>
          <w:rFonts w:ascii="Garamond" w:eastAsia="Times New Roman" w:hAnsi="Garamond"/>
          <w:sz w:val="24"/>
          <w:szCs w:val="24"/>
          <w:lang w:eastAsia="pt-BR"/>
        </w:rPr>
        <w:t xml:space="preserve"> </w:t>
      </w:r>
      <w:proofErr w:type="spellStart"/>
      <w:r w:rsidRPr="002C7F50">
        <w:rPr>
          <w:rFonts w:ascii="Garamond" w:eastAsia="Times New Roman" w:hAnsi="Garamond"/>
          <w:sz w:val="24"/>
          <w:szCs w:val="24"/>
          <w:lang w:eastAsia="pt-BR"/>
        </w:rPr>
        <w:t>developed</w:t>
      </w:r>
      <w:proofErr w:type="spellEnd"/>
      <w:r w:rsidRPr="002C7F50">
        <w:rPr>
          <w:rFonts w:ascii="Garamond" w:eastAsia="Times New Roman" w:hAnsi="Garamond"/>
          <w:sz w:val="24"/>
          <w:szCs w:val="24"/>
          <w:lang w:eastAsia="pt-BR"/>
        </w:rPr>
        <w:t xml:space="preserve"> as a </w:t>
      </w:r>
      <w:proofErr w:type="spellStart"/>
      <w:r w:rsidRPr="002C7F50">
        <w:rPr>
          <w:rFonts w:ascii="Garamond" w:eastAsia="Times New Roman" w:hAnsi="Garamond"/>
          <w:sz w:val="24"/>
          <w:szCs w:val="24"/>
          <w:lang w:eastAsia="pt-BR"/>
        </w:rPr>
        <w:t>reference</w:t>
      </w:r>
      <w:proofErr w:type="spellEnd"/>
      <w:r w:rsidRPr="002C7F50">
        <w:rPr>
          <w:rFonts w:ascii="Garamond" w:eastAsia="Times New Roman" w:hAnsi="Garamond"/>
          <w:sz w:val="24"/>
          <w:szCs w:val="24"/>
          <w:lang w:eastAsia="pt-BR"/>
        </w:rPr>
        <w:t>”.</w:t>
      </w:r>
    </w:p>
    <w:p w:rsidR="00C807F6" w:rsidRPr="002C7F50" w:rsidRDefault="00C807F6" w:rsidP="00310943">
      <w:pPr>
        <w:spacing w:after="0"/>
        <w:jc w:val="both"/>
        <w:rPr>
          <w:rFonts w:ascii="Garamond" w:eastAsia="Times New Roman" w:hAnsi="Garamond"/>
          <w:sz w:val="24"/>
          <w:szCs w:val="24"/>
          <w:lang w:eastAsia="pt-BR"/>
        </w:rPr>
      </w:pPr>
    </w:p>
    <w:p w:rsidR="00C807F6" w:rsidRPr="002C7F50" w:rsidRDefault="00C807F6" w:rsidP="00310943">
      <w:pPr>
        <w:spacing w:after="0"/>
        <w:jc w:val="both"/>
        <w:rPr>
          <w:rFonts w:ascii="Garamond" w:hAnsi="Garamond"/>
          <w:i/>
          <w:sz w:val="24"/>
          <w:szCs w:val="24"/>
          <w:lang w:val="en-US"/>
        </w:rPr>
      </w:pPr>
      <w:r w:rsidRPr="002C7F50">
        <w:rPr>
          <w:rFonts w:ascii="Garamond" w:hAnsi="Garamond"/>
          <w:i/>
          <w:sz w:val="24"/>
          <w:szCs w:val="24"/>
        </w:rPr>
        <w:t>Resposta:</w:t>
      </w:r>
      <w:r w:rsidR="00844293" w:rsidRPr="002C7F50">
        <w:rPr>
          <w:rFonts w:ascii="Garamond" w:hAnsi="Garamond"/>
          <w:i/>
          <w:sz w:val="24"/>
          <w:szCs w:val="24"/>
        </w:rPr>
        <w:t xml:space="preserve"> </w:t>
      </w:r>
      <w:r w:rsidR="00236B45" w:rsidRPr="002C7F50">
        <w:rPr>
          <w:rFonts w:ascii="Garamond" w:hAnsi="Garamond"/>
          <w:i/>
          <w:sz w:val="24"/>
          <w:szCs w:val="24"/>
        </w:rPr>
        <w:t>Sugestão Incorporada. O abstract foi completamente reescrito.</w:t>
      </w:r>
      <w:r w:rsidR="0032169A" w:rsidRPr="002C7F50">
        <w:rPr>
          <w:rFonts w:ascii="Garamond" w:hAnsi="Garamond"/>
          <w:i/>
          <w:sz w:val="24"/>
          <w:szCs w:val="24"/>
        </w:rPr>
        <w:t xml:space="preserve"> </w:t>
      </w:r>
      <w:proofErr w:type="gramStart"/>
      <w:r w:rsidR="0032169A" w:rsidRPr="002C7F50">
        <w:rPr>
          <w:rFonts w:ascii="Garamond" w:hAnsi="Garamond"/>
          <w:i/>
          <w:sz w:val="24"/>
          <w:szCs w:val="24"/>
          <w:lang w:val="en-US"/>
        </w:rPr>
        <w:t>Segue</w:t>
      </w:r>
      <w:proofErr w:type="gramEnd"/>
      <w:r w:rsidR="0032169A" w:rsidRPr="002C7F50">
        <w:rPr>
          <w:rFonts w:ascii="Garamond" w:hAnsi="Garamond"/>
          <w:i/>
          <w:sz w:val="24"/>
          <w:szCs w:val="24"/>
          <w:lang w:val="en-US"/>
        </w:rPr>
        <w:t xml:space="preserve"> a nova </w:t>
      </w:r>
      <w:proofErr w:type="spellStart"/>
      <w:r w:rsidR="0032169A" w:rsidRPr="002C7F50">
        <w:rPr>
          <w:rFonts w:ascii="Garamond" w:hAnsi="Garamond"/>
          <w:i/>
          <w:sz w:val="24"/>
          <w:szCs w:val="24"/>
          <w:lang w:val="en-US"/>
        </w:rPr>
        <w:t>redação</w:t>
      </w:r>
      <w:proofErr w:type="spellEnd"/>
      <w:r w:rsidR="0032169A" w:rsidRPr="002C7F50">
        <w:rPr>
          <w:rFonts w:ascii="Garamond" w:hAnsi="Garamond"/>
          <w:i/>
          <w:sz w:val="24"/>
          <w:szCs w:val="24"/>
          <w:lang w:val="en-US"/>
        </w:rPr>
        <w:t>:</w:t>
      </w:r>
    </w:p>
    <w:p w:rsidR="0032169A" w:rsidRPr="002C7F50" w:rsidRDefault="0032169A" w:rsidP="00310943">
      <w:pPr>
        <w:spacing w:after="0"/>
        <w:jc w:val="both"/>
        <w:rPr>
          <w:rFonts w:ascii="Garamond" w:hAnsi="Garamond"/>
          <w:i/>
          <w:sz w:val="24"/>
          <w:szCs w:val="24"/>
          <w:lang w:val="en-US"/>
        </w:rPr>
      </w:pPr>
    </w:p>
    <w:p w:rsidR="0032169A" w:rsidRPr="002C7F50" w:rsidRDefault="0032169A" w:rsidP="0032169A">
      <w:pPr>
        <w:tabs>
          <w:tab w:val="left" w:pos="0"/>
        </w:tabs>
        <w:jc w:val="both"/>
        <w:rPr>
          <w:rStyle w:val="longtext"/>
          <w:rFonts w:ascii="Garamond" w:hAnsi="Garamond"/>
          <w:sz w:val="24"/>
          <w:szCs w:val="24"/>
          <w:lang w:val="en-US"/>
        </w:rPr>
      </w:pPr>
      <w:r w:rsidRPr="002C7F50">
        <w:rPr>
          <w:rStyle w:val="longtext"/>
          <w:rFonts w:ascii="Garamond" w:hAnsi="Garamond"/>
          <w:sz w:val="24"/>
          <w:szCs w:val="24"/>
          <w:highlight w:val="yellow"/>
          <w:lang w:val="en-US"/>
        </w:rPr>
        <w:t xml:space="preserve">This work analyzes if the Brazilian trade liberalization had active participation in promoting the level of per capita income of municipalities in the </w:t>
      </w:r>
      <w:proofErr w:type="spellStart"/>
      <w:r w:rsidRPr="002C7F50">
        <w:rPr>
          <w:rStyle w:val="longtext"/>
          <w:rFonts w:ascii="Garamond" w:hAnsi="Garamond"/>
          <w:sz w:val="24"/>
          <w:szCs w:val="24"/>
          <w:highlight w:val="yellow"/>
          <w:lang w:val="en-US"/>
        </w:rPr>
        <w:t>steate</w:t>
      </w:r>
      <w:proofErr w:type="spellEnd"/>
      <w:r w:rsidRPr="002C7F50">
        <w:rPr>
          <w:rStyle w:val="longtext"/>
          <w:rFonts w:ascii="Garamond" w:hAnsi="Garamond"/>
          <w:sz w:val="24"/>
          <w:szCs w:val="24"/>
          <w:highlight w:val="yellow"/>
          <w:lang w:val="en-US"/>
        </w:rPr>
        <w:t xml:space="preserve"> of </w:t>
      </w:r>
      <w:proofErr w:type="spellStart"/>
      <w:r w:rsidRPr="002C7F50">
        <w:rPr>
          <w:rStyle w:val="longtext"/>
          <w:rFonts w:ascii="Garamond" w:hAnsi="Garamond"/>
          <w:sz w:val="24"/>
          <w:szCs w:val="24"/>
          <w:highlight w:val="yellow"/>
          <w:lang w:val="en-US"/>
        </w:rPr>
        <w:t>Ceará</w:t>
      </w:r>
      <w:proofErr w:type="spellEnd"/>
      <w:r w:rsidRPr="002C7F50">
        <w:rPr>
          <w:rStyle w:val="longtext"/>
          <w:rFonts w:ascii="Garamond" w:hAnsi="Garamond"/>
          <w:sz w:val="24"/>
          <w:szCs w:val="24"/>
          <w:highlight w:val="yellow"/>
          <w:lang w:val="en-US"/>
        </w:rPr>
        <w:t xml:space="preserve">, and if these effects were shown to be asymmetrical when considering different development poles, and to evaluate the contribution of human capital considering two measures, elementary level and high school. Only the human capital measured by high school had a significant influence on the income level of the municipalities in </w:t>
      </w:r>
      <w:proofErr w:type="spellStart"/>
      <w:r w:rsidRPr="002C7F50">
        <w:rPr>
          <w:rStyle w:val="longtext"/>
          <w:rFonts w:ascii="Garamond" w:hAnsi="Garamond"/>
          <w:sz w:val="24"/>
          <w:szCs w:val="24"/>
          <w:highlight w:val="yellow"/>
          <w:lang w:val="en-US"/>
        </w:rPr>
        <w:t>Ceará</w:t>
      </w:r>
      <w:proofErr w:type="spellEnd"/>
      <w:r w:rsidRPr="002C7F50">
        <w:rPr>
          <w:rStyle w:val="longtext"/>
          <w:rFonts w:ascii="Garamond" w:hAnsi="Garamond"/>
          <w:sz w:val="24"/>
          <w:szCs w:val="24"/>
          <w:highlight w:val="yellow"/>
          <w:lang w:val="en-US"/>
        </w:rPr>
        <w:t xml:space="preserve">. Trade liberalization had a negative impact on per capita income of the municipalities. However, when considering the existing regional differences in the state, and using the less developed municipalities as a reference, it appears that trade liberalization has contributed to an uneven growth among the municipalities in </w:t>
      </w:r>
      <w:proofErr w:type="spellStart"/>
      <w:r w:rsidRPr="002C7F50">
        <w:rPr>
          <w:rStyle w:val="longtext"/>
          <w:rFonts w:ascii="Garamond" w:hAnsi="Garamond"/>
          <w:sz w:val="24"/>
          <w:szCs w:val="24"/>
          <w:highlight w:val="yellow"/>
          <w:lang w:val="en-US"/>
        </w:rPr>
        <w:t>Ceará</w:t>
      </w:r>
      <w:proofErr w:type="spellEnd"/>
      <w:r w:rsidRPr="002C7F50">
        <w:rPr>
          <w:rStyle w:val="longtext"/>
          <w:rFonts w:ascii="Garamond" w:hAnsi="Garamond"/>
          <w:sz w:val="24"/>
          <w:szCs w:val="24"/>
          <w:highlight w:val="yellow"/>
          <w:lang w:val="en-US"/>
        </w:rPr>
        <w:t>.</w:t>
      </w:r>
    </w:p>
    <w:p w:rsidR="00C807F6"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2</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xml:space="preserve">- Trazer para dentro do texto a explicação do </w:t>
      </w:r>
      <w:proofErr w:type="gramStart"/>
      <w:r w:rsidRPr="002C7F50">
        <w:rPr>
          <w:rFonts w:ascii="Garamond" w:eastAsia="Times New Roman" w:hAnsi="Garamond"/>
          <w:sz w:val="24"/>
          <w:szCs w:val="24"/>
          <w:lang w:eastAsia="pt-BR"/>
        </w:rPr>
        <w:t>porquê</w:t>
      </w:r>
      <w:proofErr w:type="gramEnd"/>
      <w:r w:rsidRPr="002C7F50">
        <w:rPr>
          <w:rFonts w:ascii="Garamond" w:eastAsia="Times New Roman" w:hAnsi="Garamond"/>
          <w:sz w:val="24"/>
          <w:szCs w:val="24"/>
          <w:lang w:eastAsia="pt-BR"/>
        </w:rPr>
        <w:t xml:space="preserve"> utilizar apenas 42 municípios.</w:t>
      </w:r>
      <w:r w:rsidRPr="002C7F50">
        <w:rPr>
          <w:rFonts w:ascii="Garamond" w:eastAsia="Times New Roman" w:hAnsi="Garamond"/>
          <w:sz w:val="24"/>
          <w:szCs w:val="24"/>
          <w:lang w:eastAsia="pt-BR"/>
        </w:rPr>
        <w:br/>
      </w:r>
    </w:p>
    <w:p w:rsidR="00C807F6"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236B45" w:rsidRPr="002C7F50">
        <w:rPr>
          <w:rFonts w:ascii="Garamond" w:hAnsi="Garamond"/>
          <w:i/>
          <w:sz w:val="24"/>
          <w:szCs w:val="24"/>
        </w:rPr>
        <w:t xml:space="preserve"> </w:t>
      </w:r>
      <w:r w:rsidR="0032169A" w:rsidRPr="002C7F50">
        <w:rPr>
          <w:rFonts w:ascii="Garamond" w:hAnsi="Garamond"/>
          <w:i/>
          <w:sz w:val="24"/>
          <w:szCs w:val="24"/>
        </w:rPr>
        <w:t>Sugestão Incorporada. Logo na introdução foi inserida a seguinte sentença:</w:t>
      </w:r>
    </w:p>
    <w:p w:rsidR="0032169A" w:rsidRPr="002C7F50" w:rsidRDefault="0032169A" w:rsidP="00310943">
      <w:pPr>
        <w:spacing w:after="0"/>
        <w:jc w:val="both"/>
        <w:rPr>
          <w:rFonts w:ascii="Garamond" w:hAnsi="Garamond"/>
          <w:i/>
          <w:sz w:val="24"/>
          <w:szCs w:val="24"/>
        </w:rPr>
      </w:pPr>
    </w:p>
    <w:p w:rsidR="0032169A" w:rsidRPr="002C7F50" w:rsidRDefault="0032169A" w:rsidP="004172BC">
      <w:pPr>
        <w:spacing w:line="240" w:lineRule="auto"/>
        <w:jc w:val="both"/>
        <w:rPr>
          <w:rStyle w:val="longtext"/>
          <w:rFonts w:ascii="Garamond" w:hAnsi="Garamond"/>
          <w:sz w:val="24"/>
          <w:szCs w:val="24"/>
          <w:lang w:val="pt-PT"/>
        </w:rPr>
      </w:pPr>
      <w:r w:rsidRPr="002C7F50">
        <w:rPr>
          <w:rStyle w:val="longtext"/>
          <w:rFonts w:ascii="Garamond" w:hAnsi="Garamond"/>
          <w:sz w:val="24"/>
          <w:szCs w:val="24"/>
          <w:lang w:val="pt-PT"/>
        </w:rPr>
        <w:t xml:space="preserve">Assim, para averiguar tais efeitos, utilizar-se-á de informações de 42 municípios entre 1997 e 2005 e modelos dinâmicos para dados em painel, estimados pelo Método dos Momentos Generalizado-Sistema, doravante </w:t>
      </w:r>
      <w:r w:rsidRPr="002C7F50">
        <w:rPr>
          <w:rFonts w:ascii="Garamond" w:hAnsi="Garamond"/>
          <w:i/>
          <w:sz w:val="24"/>
          <w:szCs w:val="24"/>
        </w:rPr>
        <w:t>System-GMM</w:t>
      </w:r>
      <w:r w:rsidRPr="002C7F50">
        <w:rPr>
          <w:rStyle w:val="longtext"/>
          <w:rFonts w:ascii="Garamond" w:hAnsi="Garamond"/>
          <w:sz w:val="24"/>
          <w:szCs w:val="24"/>
          <w:lang w:val="pt-PT"/>
        </w:rPr>
        <w:t xml:space="preserve">, que é uma extensão do estimador original de Arellano-Bond (1991), proposto por Arellano-Bover (1995) e desenvolvido por Blundell e Bond (1998). </w:t>
      </w:r>
      <w:proofErr w:type="gramStart"/>
      <w:r w:rsidRPr="002C7F50">
        <w:rPr>
          <w:rStyle w:val="longtext"/>
          <w:rFonts w:ascii="Garamond" w:hAnsi="Garamond"/>
          <w:sz w:val="24"/>
          <w:szCs w:val="24"/>
          <w:highlight w:val="yellow"/>
          <w:lang w:val="pt-PT"/>
        </w:rPr>
        <w:t>Vale</w:t>
      </w:r>
      <w:proofErr w:type="gramEnd"/>
      <w:r w:rsidRPr="002C7F50">
        <w:rPr>
          <w:rStyle w:val="longtext"/>
          <w:rFonts w:ascii="Garamond" w:hAnsi="Garamond"/>
          <w:sz w:val="24"/>
          <w:szCs w:val="24"/>
          <w:highlight w:val="yellow"/>
          <w:lang w:val="pt-PT"/>
        </w:rPr>
        <w:t xml:space="preserve"> ressaltar que, em virtude da indisponibilidade de dados para todos os municípios do estado, foram utilizadas informações para os 42 municípios com </w:t>
      </w:r>
      <w:r w:rsidR="00302F73" w:rsidRPr="002C7F50">
        <w:rPr>
          <w:rStyle w:val="longtext"/>
          <w:rFonts w:ascii="Garamond" w:hAnsi="Garamond"/>
          <w:sz w:val="24"/>
          <w:szCs w:val="24"/>
          <w:highlight w:val="yellow"/>
          <w:lang w:val="pt-PT"/>
        </w:rPr>
        <w:t>informações</w:t>
      </w:r>
      <w:r w:rsidRPr="002C7F50">
        <w:rPr>
          <w:rStyle w:val="longtext"/>
          <w:rFonts w:ascii="Garamond" w:hAnsi="Garamond"/>
          <w:sz w:val="24"/>
          <w:szCs w:val="24"/>
          <w:highlight w:val="yellow"/>
          <w:lang w:val="pt-PT"/>
        </w:rPr>
        <w:t xml:space="preserve"> disponíveis.</w:t>
      </w:r>
      <w:r w:rsidRPr="002C7F50">
        <w:rPr>
          <w:rStyle w:val="longtext"/>
          <w:rFonts w:ascii="Garamond" w:hAnsi="Garamond"/>
          <w:sz w:val="24"/>
          <w:szCs w:val="24"/>
          <w:lang w:val="pt-PT"/>
        </w:rPr>
        <w:t xml:space="preserve"> </w:t>
      </w:r>
    </w:p>
    <w:p w:rsidR="00310943"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3</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xml:space="preserve">- Revisar as referências bibliográficas. Percebi ao menos dois trabalhos que não se encontram nas referências: Jones (1995) e Bastos </w:t>
      </w:r>
      <w:proofErr w:type="gramStart"/>
      <w:r w:rsidRPr="002C7F50">
        <w:rPr>
          <w:rFonts w:ascii="Garamond" w:eastAsia="Times New Roman" w:hAnsi="Garamond"/>
          <w:i/>
          <w:sz w:val="24"/>
          <w:szCs w:val="24"/>
          <w:lang w:eastAsia="pt-BR"/>
        </w:rPr>
        <w:t>et</w:t>
      </w:r>
      <w:proofErr w:type="gramEnd"/>
      <w:r w:rsidRPr="002C7F50">
        <w:rPr>
          <w:rFonts w:ascii="Garamond" w:eastAsia="Times New Roman" w:hAnsi="Garamond"/>
          <w:i/>
          <w:sz w:val="24"/>
          <w:szCs w:val="24"/>
          <w:lang w:eastAsia="pt-BR"/>
        </w:rPr>
        <w:t xml:space="preserve"> </w:t>
      </w:r>
      <w:proofErr w:type="spellStart"/>
      <w:r w:rsidRPr="002C7F50">
        <w:rPr>
          <w:rFonts w:ascii="Garamond" w:eastAsia="Times New Roman" w:hAnsi="Garamond"/>
          <w:i/>
          <w:sz w:val="24"/>
          <w:szCs w:val="24"/>
          <w:lang w:eastAsia="pt-BR"/>
        </w:rPr>
        <w:t>all</w:t>
      </w:r>
      <w:proofErr w:type="spellEnd"/>
      <w:r w:rsidRPr="002C7F50">
        <w:rPr>
          <w:rFonts w:ascii="Garamond" w:eastAsia="Times New Roman" w:hAnsi="Garamond"/>
          <w:sz w:val="24"/>
          <w:szCs w:val="24"/>
          <w:lang w:eastAsia="pt-BR"/>
        </w:rPr>
        <w:t xml:space="preserve"> (2011). </w:t>
      </w:r>
    </w:p>
    <w:p w:rsidR="00C807F6" w:rsidRPr="002C7F50" w:rsidRDefault="00C807F6" w:rsidP="00310943">
      <w:pPr>
        <w:spacing w:after="0"/>
        <w:jc w:val="both"/>
        <w:rPr>
          <w:rFonts w:ascii="Garamond" w:eastAsia="Times New Roman" w:hAnsi="Garamond"/>
          <w:sz w:val="24"/>
          <w:szCs w:val="24"/>
          <w:lang w:eastAsia="pt-BR"/>
        </w:rPr>
      </w:pPr>
    </w:p>
    <w:p w:rsidR="00C807F6"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082936" w:rsidRPr="002C7F50">
        <w:rPr>
          <w:rFonts w:ascii="Garamond" w:hAnsi="Garamond"/>
          <w:i/>
          <w:sz w:val="24"/>
          <w:szCs w:val="24"/>
        </w:rPr>
        <w:t xml:space="preserve"> Sugestão Incorporada. As referências bibliográficas foram completamente revisadas</w:t>
      </w:r>
      <w:r w:rsidR="00ED2E33" w:rsidRPr="002C7F50">
        <w:rPr>
          <w:rFonts w:ascii="Garamond" w:hAnsi="Garamond"/>
          <w:i/>
          <w:sz w:val="24"/>
          <w:szCs w:val="24"/>
        </w:rPr>
        <w:t xml:space="preserve"> e atualizadas</w:t>
      </w:r>
      <w:r w:rsidR="00082936" w:rsidRPr="002C7F50">
        <w:rPr>
          <w:rFonts w:ascii="Garamond" w:hAnsi="Garamond"/>
          <w:i/>
          <w:sz w:val="24"/>
          <w:szCs w:val="24"/>
        </w:rPr>
        <w:t>.</w:t>
      </w:r>
    </w:p>
    <w:p w:rsidR="00C807F6" w:rsidRPr="002C7F50" w:rsidRDefault="00C807F6" w:rsidP="00310943">
      <w:pPr>
        <w:spacing w:after="0"/>
        <w:jc w:val="both"/>
        <w:rPr>
          <w:rFonts w:ascii="Garamond" w:eastAsia="Times New Roman" w:hAnsi="Garamond"/>
          <w:sz w:val="24"/>
          <w:szCs w:val="24"/>
          <w:lang w:eastAsia="pt-BR"/>
        </w:rPr>
      </w:pPr>
    </w:p>
    <w:p w:rsidR="00310943"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4</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A revisão da literatura sobre capital humano está defasada. Muitos artigos recentes evidenciam a relevância da qualidade da educação em medidas de capital humano. Acredito que discutir isso e os possíveis prejuízos de omitir essa medida nas regressões deva ser inserido no trabalho.</w:t>
      </w:r>
    </w:p>
    <w:p w:rsidR="00C807F6" w:rsidRPr="002C7F50" w:rsidRDefault="00C807F6" w:rsidP="00310943">
      <w:pPr>
        <w:spacing w:after="0"/>
        <w:jc w:val="both"/>
        <w:rPr>
          <w:rFonts w:ascii="Garamond" w:eastAsia="Times New Roman" w:hAnsi="Garamond"/>
          <w:sz w:val="24"/>
          <w:szCs w:val="24"/>
          <w:lang w:eastAsia="pt-BR"/>
        </w:rPr>
      </w:pPr>
    </w:p>
    <w:p w:rsidR="00C807F6"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082936" w:rsidRPr="002C7F50">
        <w:rPr>
          <w:rFonts w:ascii="Garamond" w:hAnsi="Garamond"/>
          <w:i/>
          <w:sz w:val="24"/>
          <w:szCs w:val="24"/>
        </w:rPr>
        <w:t xml:space="preserve"> Sugestão Incorporada. Foram adicionados na revisão de literatura os seguintes trabalhos recentes:</w:t>
      </w:r>
    </w:p>
    <w:p w:rsidR="00082936" w:rsidRPr="002C7F50" w:rsidRDefault="00082936" w:rsidP="00310943">
      <w:pPr>
        <w:spacing w:after="0"/>
        <w:jc w:val="both"/>
        <w:rPr>
          <w:rFonts w:ascii="Garamond" w:hAnsi="Garamond"/>
          <w:i/>
          <w:sz w:val="24"/>
          <w:szCs w:val="24"/>
        </w:rPr>
      </w:pPr>
    </w:p>
    <w:p w:rsidR="00BA7C9C" w:rsidRPr="002C7F50" w:rsidRDefault="00BA7C9C" w:rsidP="00BA7C9C">
      <w:pPr>
        <w:spacing w:after="0" w:line="240" w:lineRule="auto"/>
        <w:ind w:firstLine="851"/>
        <w:jc w:val="both"/>
        <w:rPr>
          <w:rFonts w:ascii="Garamond" w:eastAsia="Times New Roman" w:hAnsi="Garamond"/>
          <w:sz w:val="24"/>
          <w:szCs w:val="24"/>
          <w:highlight w:val="yellow"/>
          <w:lang w:eastAsia="pt-BR"/>
        </w:rPr>
      </w:pPr>
      <w:r w:rsidRPr="002C7F50">
        <w:rPr>
          <w:rFonts w:ascii="Garamond" w:hAnsi="Garamond"/>
          <w:sz w:val="24"/>
          <w:szCs w:val="24"/>
          <w:highlight w:val="yellow"/>
        </w:rPr>
        <w:t>Mais recentemente, a</w:t>
      </w:r>
      <w:r w:rsidRPr="002C7F50">
        <w:rPr>
          <w:rFonts w:ascii="Garamond" w:eastAsia="Times New Roman" w:hAnsi="Garamond"/>
          <w:sz w:val="24"/>
          <w:szCs w:val="24"/>
          <w:highlight w:val="yellow"/>
          <w:lang w:eastAsia="pt-BR"/>
        </w:rPr>
        <w:t xml:space="preserve">pesar do tema não ser tratado diretamente neste </w:t>
      </w:r>
      <w:proofErr w:type="spellStart"/>
      <w:r w:rsidRPr="002C7F50">
        <w:rPr>
          <w:rFonts w:ascii="Garamond" w:eastAsia="Times New Roman" w:hAnsi="Garamond"/>
          <w:i/>
          <w:sz w:val="24"/>
          <w:szCs w:val="24"/>
          <w:highlight w:val="yellow"/>
          <w:lang w:eastAsia="pt-BR"/>
        </w:rPr>
        <w:t>paper</w:t>
      </w:r>
      <w:proofErr w:type="spellEnd"/>
      <w:r w:rsidRPr="002C7F50">
        <w:rPr>
          <w:rFonts w:ascii="Garamond" w:eastAsia="Times New Roman" w:hAnsi="Garamond"/>
          <w:sz w:val="24"/>
          <w:szCs w:val="24"/>
          <w:highlight w:val="yellow"/>
          <w:lang w:eastAsia="pt-BR"/>
        </w:rPr>
        <w:t>, existe uma literatura que destaca a parcela da educação que impacta significativamente</w:t>
      </w:r>
      <w:r w:rsidRPr="002C7F50">
        <w:rPr>
          <w:rFonts w:ascii="Garamond" w:hAnsi="Garamond"/>
          <w:sz w:val="24"/>
          <w:szCs w:val="24"/>
          <w:highlight w:val="yellow"/>
        </w:rPr>
        <w:t xml:space="preserve"> </w:t>
      </w:r>
      <w:r w:rsidRPr="002C7F50">
        <w:rPr>
          <w:rFonts w:ascii="Garamond" w:eastAsia="Times New Roman" w:hAnsi="Garamond"/>
          <w:sz w:val="24"/>
          <w:szCs w:val="24"/>
          <w:highlight w:val="yellow"/>
          <w:lang w:eastAsia="pt-BR"/>
        </w:rPr>
        <w:t>o crescimento econômico</w:t>
      </w:r>
      <w:r w:rsidRPr="002C7F50">
        <w:rPr>
          <w:rFonts w:ascii="Garamond" w:hAnsi="Garamond"/>
          <w:sz w:val="24"/>
          <w:szCs w:val="24"/>
          <w:highlight w:val="yellow"/>
        </w:rPr>
        <w:t>, qual seja,</w:t>
      </w:r>
      <w:r w:rsidRPr="002C7F50">
        <w:rPr>
          <w:rFonts w:ascii="Garamond" w:eastAsia="Times New Roman" w:hAnsi="Garamond"/>
          <w:sz w:val="24"/>
          <w:szCs w:val="24"/>
          <w:highlight w:val="yellow"/>
          <w:lang w:eastAsia="pt-BR"/>
        </w:rPr>
        <w:t xml:space="preserve"> aquela que produz ampliação das habilidades cognitivas</w:t>
      </w:r>
      <w:r w:rsidRPr="002C7F50">
        <w:rPr>
          <w:rStyle w:val="Refdenotadefim"/>
          <w:rFonts w:ascii="Garamond" w:hAnsi="Garamond"/>
          <w:sz w:val="24"/>
          <w:szCs w:val="24"/>
          <w:highlight w:val="yellow"/>
        </w:rPr>
        <w:endnoteReference w:id="1"/>
      </w:r>
      <w:r w:rsidRPr="002C7F50">
        <w:rPr>
          <w:rFonts w:ascii="Garamond" w:eastAsia="Times New Roman" w:hAnsi="Garamond"/>
          <w:sz w:val="24"/>
          <w:szCs w:val="24"/>
          <w:highlight w:val="yellow"/>
          <w:lang w:eastAsia="pt-BR"/>
        </w:rPr>
        <w:t xml:space="preserve">. </w:t>
      </w:r>
      <w:r w:rsidRPr="002C7F50">
        <w:rPr>
          <w:rFonts w:ascii="Garamond" w:hAnsi="Garamond"/>
          <w:sz w:val="24"/>
          <w:szCs w:val="24"/>
          <w:highlight w:val="yellow"/>
        </w:rPr>
        <w:t xml:space="preserve">A seguir </w:t>
      </w:r>
      <w:proofErr w:type="gramStart"/>
      <w:r w:rsidRPr="002C7F50">
        <w:rPr>
          <w:rFonts w:ascii="Garamond" w:hAnsi="Garamond"/>
          <w:sz w:val="24"/>
          <w:szCs w:val="24"/>
          <w:highlight w:val="yellow"/>
        </w:rPr>
        <w:t>destaca-se</w:t>
      </w:r>
      <w:proofErr w:type="gramEnd"/>
      <w:r w:rsidRPr="002C7F50">
        <w:rPr>
          <w:rFonts w:ascii="Garamond" w:hAnsi="Garamond"/>
          <w:sz w:val="24"/>
          <w:szCs w:val="24"/>
          <w:highlight w:val="yellow"/>
        </w:rPr>
        <w:t xml:space="preserve"> as discussões mais recentes</w:t>
      </w:r>
      <w:r w:rsidRPr="002C7F50">
        <w:rPr>
          <w:rFonts w:ascii="Garamond" w:eastAsia="Times New Roman" w:hAnsi="Garamond"/>
          <w:sz w:val="24"/>
          <w:szCs w:val="24"/>
          <w:highlight w:val="yellow"/>
          <w:lang w:eastAsia="pt-BR"/>
        </w:rPr>
        <w:t xml:space="preserve"> a respeito do impacto das instituições no crescimento econômico e sua relação de causalidade com capital humano e crescimento.</w:t>
      </w:r>
    </w:p>
    <w:p w:rsidR="00BA7C9C" w:rsidRPr="002C7F50" w:rsidRDefault="00BA7C9C" w:rsidP="00BA7C9C">
      <w:pPr>
        <w:spacing w:after="0" w:line="240" w:lineRule="auto"/>
        <w:ind w:firstLine="851"/>
        <w:jc w:val="both"/>
        <w:rPr>
          <w:rFonts w:ascii="Garamond" w:eastAsia="Times New Roman" w:hAnsi="Garamond"/>
          <w:sz w:val="24"/>
          <w:szCs w:val="24"/>
          <w:highlight w:val="yellow"/>
          <w:lang w:eastAsia="pt-BR"/>
        </w:rPr>
      </w:pPr>
      <w:proofErr w:type="spellStart"/>
      <w:r w:rsidRPr="002C7F50">
        <w:rPr>
          <w:rFonts w:ascii="Garamond" w:eastAsia="Times New Roman" w:hAnsi="Garamond"/>
          <w:sz w:val="24"/>
          <w:szCs w:val="24"/>
          <w:highlight w:val="yellow"/>
          <w:lang w:eastAsia="pt-BR"/>
        </w:rPr>
        <w:t>Hanushek</w:t>
      </w:r>
      <w:proofErr w:type="spellEnd"/>
      <w:r w:rsidRPr="002C7F50">
        <w:rPr>
          <w:rFonts w:ascii="Garamond" w:eastAsia="Times New Roman" w:hAnsi="Garamond"/>
          <w:sz w:val="24"/>
          <w:szCs w:val="24"/>
          <w:highlight w:val="yellow"/>
          <w:lang w:eastAsia="pt-BR"/>
        </w:rPr>
        <w:t xml:space="preserve"> e </w:t>
      </w:r>
      <w:proofErr w:type="spellStart"/>
      <w:r w:rsidRPr="002C7F50">
        <w:rPr>
          <w:rFonts w:ascii="Garamond" w:eastAsia="Times New Roman" w:hAnsi="Garamond"/>
          <w:sz w:val="24"/>
          <w:szCs w:val="24"/>
          <w:highlight w:val="yellow"/>
          <w:lang w:eastAsia="pt-BR"/>
        </w:rPr>
        <w:t>Kimko</w:t>
      </w:r>
      <w:proofErr w:type="spellEnd"/>
      <w:r w:rsidRPr="002C7F50">
        <w:rPr>
          <w:rFonts w:ascii="Garamond" w:eastAsia="Times New Roman" w:hAnsi="Garamond"/>
          <w:sz w:val="24"/>
          <w:szCs w:val="24"/>
          <w:highlight w:val="yellow"/>
          <w:lang w:eastAsia="pt-BR"/>
        </w:rPr>
        <w:t xml:space="preserve"> (2000) afirmam que medidas comumente utilizadas como capital humano – como quantidade de escolas e recursos destinados as escolas – </w:t>
      </w:r>
      <w:proofErr w:type="gramStart"/>
      <w:r w:rsidRPr="002C7F50">
        <w:rPr>
          <w:rFonts w:ascii="Garamond" w:eastAsia="Times New Roman" w:hAnsi="Garamond"/>
          <w:sz w:val="24"/>
          <w:szCs w:val="24"/>
          <w:highlight w:val="yellow"/>
          <w:lang w:eastAsia="pt-BR"/>
        </w:rPr>
        <w:t>são</w:t>
      </w:r>
      <w:proofErr w:type="gramEnd"/>
      <w:r w:rsidRPr="002C7F50">
        <w:rPr>
          <w:rFonts w:ascii="Garamond" w:eastAsia="Times New Roman" w:hAnsi="Garamond"/>
          <w:sz w:val="24"/>
          <w:szCs w:val="24"/>
          <w:highlight w:val="yellow"/>
          <w:lang w:eastAsia="pt-BR"/>
        </w:rPr>
        <w:t>, provavelmente, inapropriadas. Eles afirmam que os modelos tradicionais de crescimento negligenciam a importância da qualidade do capital humano para o crescimento. Os resultados sugerem que habilidade em matemática e ciências é um componente primário do capital humano relevante para a força de trabalho, pois é fortemente correlacionado com o crescimento e, por tanto, explicam as diferenças de crescimento entre os países. Os autores concluem que a qualidade da força de trabalho possui uma forte e estável relação com crescimento, ressaltando, entretanto, que a magnitude deste impacto não está clara, visto que as regressões entre países parecem superestimar o efeito.</w:t>
      </w:r>
    </w:p>
    <w:p w:rsidR="00BA7C9C" w:rsidRPr="002C7F50" w:rsidRDefault="00BA7C9C" w:rsidP="00BA7C9C">
      <w:pPr>
        <w:spacing w:after="0" w:line="240" w:lineRule="auto"/>
        <w:ind w:firstLine="851"/>
        <w:jc w:val="both"/>
        <w:rPr>
          <w:rFonts w:ascii="Garamond" w:eastAsia="Times New Roman" w:hAnsi="Garamond"/>
          <w:sz w:val="24"/>
          <w:szCs w:val="24"/>
          <w:highlight w:val="yellow"/>
          <w:lang w:eastAsia="pt-BR"/>
        </w:rPr>
      </w:pPr>
      <w:proofErr w:type="spellStart"/>
      <w:r w:rsidRPr="002C7F50">
        <w:rPr>
          <w:rFonts w:ascii="Garamond" w:eastAsia="Times New Roman" w:hAnsi="Garamond"/>
          <w:sz w:val="24"/>
          <w:szCs w:val="24"/>
          <w:highlight w:val="yellow"/>
          <w:lang w:eastAsia="pt-BR"/>
        </w:rPr>
        <w:t>Acemoglu</w:t>
      </w:r>
      <w:proofErr w:type="spellEnd"/>
      <w:r w:rsidRPr="002C7F50">
        <w:rPr>
          <w:rFonts w:ascii="Garamond" w:eastAsia="Times New Roman" w:hAnsi="Garamond"/>
          <w:sz w:val="24"/>
          <w:szCs w:val="24"/>
          <w:highlight w:val="yellow"/>
          <w:lang w:eastAsia="pt-BR"/>
        </w:rPr>
        <w:t xml:space="preserve">, Johnson e Robinson (2001), doravante AJR (2001), analisam as diferenças nas instituições como uma das fontes geradoras do </w:t>
      </w:r>
      <w:r w:rsidRPr="002C7F50">
        <w:rPr>
          <w:rFonts w:ascii="Garamond" w:eastAsia="Times New Roman" w:hAnsi="Garamond"/>
          <w:i/>
          <w:sz w:val="24"/>
          <w:szCs w:val="24"/>
          <w:highlight w:val="yellow"/>
          <w:lang w:eastAsia="pt-BR"/>
        </w:rPr>
        <w:t>gap</w:t>
      </w:r>
      <w:r w:rsidRPr="002C7F50">
        <w:rPr>
          <w:rFonts w:ascii="Garamond" w:eastAsia="Times New Roman" w:hAnsi="Garamond"/>
          <w:sz w:val="24"/>
          <w:szCs w:val="24"/>
          <w:highlight w:val="yellow"/>
          <w:lang w:eastAsia="pt-BR"/>
        </w:rPr>
        <w:t xml:space="preserve"> de renda entre as nações. Para tanto, utilizam, como medida para instrumentalizar a qualidade das instituições econômicas, a mortalidade potencial dos assentamentos das colônias, visto que este era um dos fatores determinantes de qual tipo de colônia as nações colonizadas se tornariam. Os autores partem basicamente das seguintes premissas: </w:t>
      </w:r>
      <w:r w:rsidRPr="002C7F50">
        <w:rPr>
          <w:rFonts w:ascii="Garamond" w:eastAsia="Times New Roman" w:hAnsi="Garamond"/>
          <w:i/>
          <w:sz w:val="24"/>
          <w:szCs w:val="24"/>
          <w:highlight w:val="yellow"/>
          <w:lang w:eastAsia="pt-BR"/>
        </w:rPr>
        <w:t>(i)</w:t>
      </w:r>
      <w:r w:rsidRPr="002C7F50">
        <w:rPr>
          <w:rFonts w:ascii="Garamond" w:eastAsia="Times New Roman" w:hAnsi="Garamond"/>
          <w:sz w:val="24"/>
          <w:szCs w:val="24"/>
          <w:highlight w:val="yellow"/>
          <w:lang w:eastAsia="pt-BR"/>
        </w:rPr>
        <w:t xml:space="preserve"> Os diversos tipos de políticas de colonização criaram diferentes grupos de instituições. Havia, grosso modo, dois tipos de colonização: o Estado Extrativo (o principal objetivo era transferir recursos da colônia para o colonizador) e as Colônias de Povoamento (ao emigrar para a região colonizada, o europeu tentava replicar as instituições europeias, com ênfase na propriedade privada e no controle do poder do governo), as também denominadas “Novas Europas”. </w:t>
      </w:r>
      <w:r w:rsidRPr="002C7F50">
        <w:rPr>
          <w:rFonts w:ascii="Garamond" w:eastAsia="Times New Roman" w:hAnsi="Garamond"/>
          <w:i/>
          <w:sz w:val="24"/>
          <w:szCs w:val="24"/>
          <w:highlight w:val="yellow"/>
          <w:lang w:eastAsia="pt-BR"/>
        </w:rPr>
        <w:t>(</w:t>
      </w:r>
      <w:proofErr w:type="spellStart"/>
      <w:r w:rsidRPr="002C7F50">
        <w:rPr>
          <w:rFonts w:ascii="Garamond" w:eastAsia="Times New Roman" w:hAnsi="Garamond"/>
          <w:i/>
          <w:sz w:val="24"/>
          <w:szCs w:val="24"/>
          <w:highlight w:val="yellow"/>
          <w:lang w:eastAsia="pt-BR"/>
        </w:rPr>
        <w:t>ii</w:t>
      </w:r>
      <w:proofErr w:type="spellEnd"/>
      <w:r w:rsidRPr="002C7F50">
        <w:rPr>
          <w:rFonts w:ascii="Garamond" w:eastAsia="Times New Roman" w:hAnsi="Garamond"/>
          <w:i/>
          <w:sz w:val="24"/>
          <w:szCs w:val="24"/>
          <w:highlight w:val="yellow"/>
          <w:lang w:eastAsia="pt-BR"/>
        </w:rPr>
        <w:t>)</w:t>
      </w:r>
      <w:r w:rsidRPr="002C7F50">
        <w:rPr>
          <w:rFonts w:ascii="Garamond" w:eastAsia="Times New Roman" w:hAnsi="Garamond"/>
          <w:sz w:val="24"/>
          <w:szCs w:val="24"/>
          <w:highlight w:val="yellow"/>
          <w:lang w:eastAsia="pt-BR"/>
        </w:rPr>
        <w:t xml:space="preserve"> As condições da região a ser colonizada influenciavam a natureza da colonização. Por exemplo, regiões com foco de malária e febre amarela, que eram quase fatais para europeus, estavam mais propícias à formação do Estado extrativo. </w:t>
      </w:r>
      <w:r w:rsidRPr="002C7F50">
        <w:rPr>
          <w:rFonts w:ascii="Garamond" w:eastAsia="Times New Roman" w:hAnsi="Garamond"/>
          <w:i/>
          <w:sz w:val="24"/>
          <w:szCs w:val="24"/>
          <w:highlight w:val="yellow"/>
          <w:lang w:eastAsia="pt-BR"/>
        </w:rPr>
        <w:t>(</w:t>
      </w:r>
      <w:proofErr w:type="spellStart"/>
      <w:r w:rsidRPr="002C7F50">
        <w:rPr>
          <w:rFonts w:ascii="Garamond" w:eastAsia="Times New Roman" w:hAnsi="Garamond"/>
          <w:i/>
          <w:sz w:val="24"/>
          <w:szCs w:val="24"/>
          <w:highlight w:val="yellow"/>
          <w:lang w:eastAsia="pt-BR"/>
        </w:rPr>
        <w:t>iii</w:t>
      </w:r>
      <w:proofErr w:type="spellEnd"/>
      <w:r w:rsidRPr="002C7F50">
        <w:rPr>
          <w:rFonts w:ascii="Garamond" w:eastAsia="Times New Roman" w:hAnsi="Garamond"/>
          <w:i/>
          <w:sz w:val="24"/>
          <w:szCs w:val="24"/>
          <w:highlight w:val="yellow"/>
          <w:lang w:eastAsia="pt-BR"/>
        </w:rPr>
        <w:t>)</w:t>
      </w:r>
      <w:r w:rsidRPr="002C7F50">
        <w:rPr>
          <w:rFonts w:ascii="Garamond" w:eastAsia="Times New Roman" w:hAnsi="Garamond"/>
          <w:sz w:val="24"/>
          <w:szCs w:val="24"/>
          <w:highlight w:val="yellow"/>
          <w:lang w:eastAsia="pt-BR"/>
        </w:rPr>
        <w:t xml:space="preserve"> O estado colonial e as instituições extrativas persistiram até depois da independência. AJR (2001) encontram correlação positiva entre as instituições </w:t>
      </w:r>
      <w:proofErr w:type="gramStart"/>
      <w:r w:rsidRPr="002C7F50">
        <w:rPr>
          <w:rFonts w:ascii="Garamond" w:eastAsia="Times New Roman" w:hAnsi="Garamond"/>
          <w:sz w:val="24"/>
          <w:szCs w:val="24"/>
          <w:highlight w:val="yellow"/>
          <w:lang w:eastAsia="pt-BR"/>
        </w:rPr>
        <w:t>implementadas</w:t>
      </w:r>
      <w:proofErr w:type="gramEnd"/>
      <w:r w:rsidRPr="002C7F50">
        <w:rPr>
          <w:rFonts w:ascii="Garamond" w:eastAsia="Times New Roman" w:hAnsi="Garamond"/>
          <w:sz w:val="24"/>
          <w:szCs w:val="24"/>
          <w:highlight w:val="yellow"/>
          <w:lang w:eastAsia="pt-BR"/>
        </w:rPr>
        <w:t xml:space="preserve"> e a desempenho econômico dos países, mas ressaltam, contudo, que as instituições não são predeterminadas pelas políticas coloniais, podendo passar por mudanças.</w:t>
      </w:r>
    </w:p>
    <w:p w:rsidR="00BA7C9C" w:rsidRPr="002C7F50" w:rsidRDefault="00BA7C9C" w:rsidP="00BA7C9C">
      <w:pPr>
        <w:spacing w:after="0" w:line="240" w:lineRule="auto"/>
        <w:ind w:firstLine="851"/>
        <w:jc w:val="both"/>
        <w:rPr>
          <w:rFonts w:ascii="Garamond" w:hAnsi="Garamond"/>
          <w:sz w:val="24"/>
          <w:szCs w:val="24"/>
          <w:highlight w:val="yellow"/>
        </w:rPr>
      </w:pPr>
      <w:r w:rsidRPr="002C7F50">
        <w:rPr>
          <w:rFonts w:ascii="Garamond" w:eastAsia="Times New Roman" w:hAnsi="Garamond"/>
          <w:sz w:val="24"/>
          <w:szCs w:val="24"/>
          <w:highlight w:val="yellow"/>
          <w:lang w:eastAsia="pt-BR"/>
        </w:rPr>
        <w:t xml:space="preserve">Segundo </w:t>
      </w:r>
      <w:proofErr w:type="spellStart"/>
      <w:r w:rsidRPr="002C7F50">
        <w:rPr>
          <w:rFonts w:ascii="Garamond" w:eastAsia="Times New Roman" w:hAnsi="Garamond"/>
          <w:sz w:val="24"/>
          <w:szCs w:val="24"/>
          <w:highlight w:val="yellow"/>
          <w:lang w:eastAsia="pt-BR"/>
        </w:rPr>
        <w:t>Acemoglu</w:t>
      </w:r>
      <w:proofErr w:type="spellEnd"/>
      <w:r w:rsidRPr="002C7F50">
        <w:rPr>
          <w:rFonts w:ascii="Garamond" w:eastAsia="Times New Roman" w:hAnsi="Garamond"/>
          <w:sz w:val="24"/>
          <w:szCs w:val="24"/>
          <w:highlight w:val="yellow"/>
          <w:lang w:eastAsia="pt-BR"/>
        </w:rPr>
        <w:t>, Johnson e Robinson (2002), d</w:t>
      </w:r>
      <w:r w:rsidRPr="002C7F50">
        <w:rPr>
          <w:rFonts w:ascii="Garamond" w:hAnsi="Garamond"/>
          <w:sz w:val="24"/>
          <w:szCs w:val="24"/>
          <w:highlight w:val="yellow"/>
        </w:rPr>
        <w:t xml:space="preserve">entre os países colonizados pelas potências europeias nos últimos quinhentos anos, aqueles que eram relativamente ricos em 1500 são hoje relativamente pobres. Usando dados sobre padrão de urbanização e densidade populacional – </w:t>
      </w:r>
      <w:proofErr w:type="gramStart"/>
      <w:r w:rsidRPr="002C7F50">
        <w:rPr>
          <w:rFonts w:ascii="Garamond" w:hAnsi="Garamond"/>
          <w:i/>
          <w:sz w:val="24"/>
          <w:szCs w:val="24"/>
          <w:highlight w:val="yellow"/>
        </w:rPr>
        <w:t>proxy</w:t>
      </w:r>
      <w:proofErr w:type="gramEnd"/>
      <w:r w:rsidRPr="002C7F50">
        <w:rPr>
          <w:rFonts w:ascii="Garamond" w:hAnsi="Garamond"/>
          <w:sz w:val="24"/>
          <w:szCs w:val="24"/>
          <w:highlight w:val="yellow"/>
        </w:rPr>
        <w:t xml:space="preserve"> para prosperidade econômica – os autores mostram que esta mudança é reflexo das instituições resultantes do colonialismo europeu. Noutros termos, os Europeus </w:t>
      </w:r>
      <w:proofErr w:type="gramStart"/>
      <w:r w:rsidRPr="002C7F50">
        <w:rPr>
          <w:rFonts w:ascii="Garamond" w:hAnsi="Garamond"/>
          <w:sz w:val="24"/>
          <w:szCs w:val="24"/>
          <w:highlight w:val="yellow"/>
        </w:rPr>
        <w:t>implementaram</w:t>
      </w:r>
      <w:proofErr w:type="gramEnd"/>
      <w:r w:rsidRPr="002C7F50">
        <w:rPr>
          <w:rFonts w:ascii="Garamond" w:hAnsi="Garamond"/>
          <w:sz w:val="24"/>
          <w:szCs w:val="24"/>
          <w:highlight w:val="yellow"/>
        </w:rPr>
        <w:t xml:space="preserve"> instituições que estimularam o investimento em nações anteriormente pobres.</w:t>
      </w:r>
    </w:p>
    <w:p w:rsidR="00BA7C9C" w:rsidRPr="002C7F50" w:rsidRDefault="00BA7C9C" w:rsidP="00BA7C9C">
      <w:pPr>
        <w:spacing w:after="0" w:line="240" w:lineRule="auto"/>
        <w:ind w:firstLine="851"/>
        <w:jc w:val="both"/>
        <w:rPr>
          <w:rFonts w:ascii="Garamond" w:hAnsi="Garamond"/>
          <w:sz w:val="24"/>
          <w:szCs w:val="24"/>
          <w:highlight w:val="yellow"/>
        </w:rPr>
      </w:pPr>
      <w:r w:rsidRPr="002C7F50">
        <w:rPr>
          <w:rFonts w:ascii="Garamond" w:hAnsi="Garamond"/>
          <w:sz w:val="24"/>
          <w:szCs w:val="24"/>
          <w:highlight w:val="yellow"/>
        </w:rPr>
        <w:t xml:space="preserve">À luz dos problemas enfrentados por nações pobres e não democráticas, </w:t>
      </w:r>
      <w:proofErr w:type="spellStart"/>
      <w:r w:rsidRPr="002C7F50">
        <w:rPr>
          <w:rFonts w:ascii="Garamond" w:hAnsi="Garamond"/>
          <w:sz w:val="24"/>
          <w:szCs w:val="24"/>
          <w:highlight w:val="yellow"/>
        </w:rPr>
        <w:t>Glaeser</w:t>
      </w:r>
      <w:proofErr w:type="spellEnd"/>
      <w:r w:rsidRPr="002C7F50">
        <w:rPr>
          <w:rFonts w:ascii="Garamond" w:hAnsi="Garamond"/>
          <w:sz w:val="24"/>
          <w:szCs w:val="24"/>
          <w:highlight w:val="yellow"/>
        </w:rPr>
        <w:t xml:space="preserve"> </w:t>
      </w:r>
      <w:proofErr w:type="gramStart"/>
      <w:r w:rsidRPr="002C7F50">
        <w:rPr>
          <w:rFonts w:ascii="Garamond" w:hAnsi="Garamond"/>
          <w:i/>
          <w:sz w:val="24"/>
          <w:szCs w:val="24"/>
          <w:highlight w:val="yellow"/>
        </w:rPr>
        <w:t>et</w:t>
      </w:r>
      <w:proofErr w:type="gramEnd"/>
      <w:r w:rsidRPr="002C7F50">
        <w:rPr>
          <w:rFonts w:ascii="Garamond" w:hAnsi="Garamond"/>
          <w:i/>
          <w:sz w:val="24"/>
          <w:szCs w:val="24"/>
          <w:highlight w:val="yellow"/>
        </w:rPr>
        <w:t xml:space="preserve"> </w:t>
      </w:r>
      <w:proofErr w:type="spellStart"/>
      <w:r w:rsidRPr="002C7F50">
        <w:rPr>
          <w:rFonts w:ascii="Garamond" w:hAnsi="Garamond"/>
          <w:i/>
          <w:sz w:val="24"/>
          <w:szCs w:val="24"/>
          <w:highlight w:val="yellow"/>
        </w:rPr>
        <w:t>all</w:t>
      </w:r>
      <w:proofErr w:type="spellEnd"/>
      <w:r w:rsidRPr="002C7F50">
        <w:rPr>
          <w:rFonts w:ascii="Garamond" w:hAnsi="Garamond"/>
          <w:sz w:val="24"/>
          <w:szCs w:val="24"/>
          <w:highlight w:val="yellow"/>
        </w:rPr>
        <w:t xml:space="preserve"> (2004) retomam a discussão sobre a direção de causalidade entre instituições e crescimento econômico juntamente com capital humano. Além de encontrar que a maioria dos indicadores de qualidade institucional são </w:t>
      </w:r>
      <w:proofErr w:type="gramStart"/>
      <w:r w:rsidRPr="002C7F50">
        <w:rPr>
          <w:rFonts w:ascii="Garamond" w:hAnsi="Garamond"/>
          <w:sz w:val="24"/>
          <w:szCs w:val="24"/>
          <w:highlight w:val="yellow"/>
        </w:rPr>
        <w:t>impróprios</w:t>
      </w:r>
      <w:proofErr w:type="gramEnd"/>
      <w:r w:rsidRPr="002C7F50">
        <w:rPr>
          <w:rFonts w:ascii="Garamond" w:hAnsi="Garamond"/>
          <w:sz w:val="24"/>
          <w:szCs w:val="24"/>
          <w:highlight w:val="yellow"/>
        </w:rPr>
        <w:t xml:space="preserve">, os autores obtêm evidências de que capital humano é uma fonte mais básica de crescimento do que as instituições e de que nações pobres saem da pobreza </w:t>
      </w:r>
      <w:r w:rsidRPr="002C7F50">
        <w:rPr>
          <w:rFonts w:ascii="Garamond" w:hAnsi="Garamond"/>
          <w:sz w:val="24"/>
          <w:szCs w:val="24"/>
          <w:highlight w:val="yellow"/>
        </w:rPr>
        <w:lastRenderedPageBreak/>
        <w:t>através boas políticas públicas impostas por ditadores e, posteriormente, melhoram suas instituições políticas. Neste sentido, seria o capital humano e social – gerador de crescimento econômico e produtividade – o responsável por melhorias institucionais, e não o contrário.</w:t>
      </w:r>
    </w:p>
    <w:p w:rsidR="00BA7C9C" w:rsidRPr="002C7F50" w:rsidRDefault="00BA7C9C" w:rsidP="00BA7C9C">
      <w:pPr>
        <w:spacing w:after="0" w:line="240" w:lineRule="auto"/>
        <w:ind w:firstLine="851"/>
        <w:jc w:val="both"/>
        <w:rPr>
          <w:rFonts w:ascii="Garamond" w:hAnsi="Garamond"/>
          <w:sz w:val="24"/>
          <w:szCs w:val="24"/>
          <w:highlight w:val="yellow"/>
        </w:rPr>
      </w:pPr>
      <w:r w:rsidRPr="002C7F50">
        <w:rPr>
          <w:rFonts w:ascii="Garamond" w:eastAsia="Times New Roman" w:hAnsi="Garamond"/>
          <w:sz w:val="24"/>
          <w:szCs w:val="24"/>
          <w:highlight w:val="yellow"/>
          <w:lang w:eastAsia="pt-BR"/>
        </w:rPr>
        <w:t>Dando atenção à qualidade e quantidade escolar</w:t>
      </w:r>
      <w:r w:rsidRPr="002C7F50">
        <w:rPr>
          <w:rStyle w:val="Refdenotadefim"/>
          <w:rFonts w:ascii="Garamond" w:hAnsi="Garamond"/>
          <w:sz w:val="24"/>
          <w:szCs w:val="24"/>
          <w:highlight w:val="yellow"/>
        </w:rPr>
        <w:endnoteReference w:id="2"/>
      </w:r>
      <w:r w:rsidRPr="002C7F50">
        <w:rPr>
          <w:rFonts w:ascii="Garamond" w:eastAsia="Times New Roman" w:hAnsi="Garamond"/>
          <w:sz w:val="24"/>
          <w:szCs w:val="24"/>
          <w:highlight w:val="yellow"/>
          <w:lang w:eastAsia="pt-BR"/>
        </w:rPr>
        <w:t xml:space="preserve">, </w:t>
      </w:r>
      <w:proofErr w:type="spellStart"/>
      <w:r w:rsidRPr="002C7F50">
        <w:rPr>
          <w:rFonts w:ascii="Garamond" w:eastAsia="Times New Roman" w:hAnsi="Garamond"/>
          <w:sz w:val="24"/>
          <w:szCs w:val="24"/>
          <w:highlight w:val="yellow"/>
          <w:lang w:eastAsia="pt-BR"/>
        </w:rPr>
        <w:t>Hanushek</w:t>
      </w:r>
      <w:proofErr w:type="spellEnd"/>
      <w:r w:rsidRPr="002C7F50">
        <w:rPr>
          <w:rFonts w:ascii="Garamond" w:eastAsia="Times New Roman" w:hAnsi="Garamond"/>
          <w:sz w:val="24"/>
          <w:szCs w:val="24"/>
          <w:highlight w:val="yellow"/>
          <w:lang w:eastAsia="pt-BR"/>
        </w:rPr>
        <w:t xml:space="preserve"> e </w:t>
      </w:r>
      <w:proofErr w:type="spellStart"/>
      <w:r w:rsidRPr="002C7F50">
        <w:rPr>
          <w:rFonts w:ascii="Garamond" w:eastAsia="Times New Roman" w:hAnsi="Garamond"/>
          <w:sz w:val="24"/>
          <w:szCs w:val="24"/>
          <w:highlight w:val="yellow"/>
          <w:lang w:eastAsia="pt-BR"/>
        </w:rPr>
        <w:t>Woessmann</w:t>
      </w:r>
      <w:proofErr w:type="spellEnd"/>
      <w:r w:rsidRPr="002C7F50">
        <w:rPr>
          <w:rFonts w:ascii="Garamond" w:eastAsia="Times New Roman" w:hAnsi="Garamond"/>
          <w:sz w:val="24"/>
          <w:szCs w:val="24"/>
          <w:highlight w:val="yellow"/>
          <w:lang w:eastAsia="pt-BR"/>
        </w:rPr>
        <w:t xml:space="preserve"> (2008) revisam o papel das habilidades cognitivas na promoção do bem-estar econômico. Os autores concluem que as habilidades cognitivas são fortemente relacionadas aos ganhos individuais, distribuição de renda e crescimento econômico. </w:t>
      </w:r>
      <w:r w:rsidRPr="002C7F50">
        <w:rPr>
          <w:rFonts w:ascii="Garamond" w:hAnsi="Garamond"/>
          <w:sz w:val="24"/>
          <w:szCs w:val="24"/>
          <w:highlight w:val="yellow"/>
        </w:rPr>
        <w:t>Os autores</w:t>
      </w:r>
      <w:r w:rsidRPr="002C7F50">
        <w:rPr>
          <w:rFonts w:ascii="Garamond" w:eastAsia="Times New Roman" w:hAnsi="Garamond"/>
          <w:sz w:val="24"/>
          <w:szCs w:val="24"/>
          <w:highlight w:val="yellow"/>
          <w:lang w:eastAsia="pt-BR"/>
        </w:rPr>
        <w:t xml:space="preserve"> ressaltam, ainda, a complementaridade existente entre habilidades e qualidade das instituições econômicas.</w:t>
      </w:r>
    </w:p>
    <w:p w:rsidR="00BA7C9C" w:rsidRPr="002C7F50" w:rsidRDefault="00BA7C9C" w:rsidP="00BA7C9C">
      <w:pPr>
        <w:spacing w:after="0" w:line="240" w:lineRule="auto"/>
        <w:ind w:firstLine="851"/>
        <w:jc w:val="both"/>
        <w:rPr>
          <w:rFonts w:ascii="Garamond" w:hAnsi="Garamond"/>
          <w:sz w:val="24"/>
          <w:szCs w:val="24"/>
          <w:highlight w:val="yellow"/>
        </w:rPr>
      </w:pPr>
      <w:r w:rsidRPr="002C7F50">
        <w:rPr>
          <w:rFonts w:ascii="Garamond" w:eastAsia="Times New Roman" w:hAnsi="Garamond"/>
          <w:sz w:val="24"/>
          <w:szCs w:val="24"/>
          <w:highlight w:val="yellow"/>
          <w:lang w:eastAsia="pt-BR"/>
        </w:rPr>
        <w:t xml:space="preserve">Em </w:t>
      </w:r>
      <w:proofErr w:type="spellStart"/>
      <w:r w:rsidRPr="002C7F50">
        <w:rPr>
          <w:rFonts w:ascii="Garamond" w:eastAsia="Times New Roman" w:hAnsi="Garamond"/>
          <w:i/>
          <w:sz w:val="24"/>
          <w:szCs w:val="24"/>
          <w:highlight w:val="yellow"/>
          <w:lang w:eastAsia="pt-BR"/>
        </w:rPr>
        <w:t>review</w:t>
      </w:r>
      <w:proofErr w:type="spellEnd"/>
      <w:r w:rsidRPr="002C7F50">
        <w:rPr>
          <w:rFonts w:ascii="Garamond" w:eastAsia="Times New Roman" w:hAnsi="Garamond"/>
          <w:sz w:val="24"/>
          <w:szCs w:val="24"/>
          <w:highlight w:val="yellow"/>
          <w:lang w:eastAsia="pt-BR"/>
        </w:rPr>
        <w:t xml:space="preserve"> sobre a literatura internacional a respeito das diferenças no desempenho escolar, </w:t>
      </w:r>
      <w:proofErr w:type="spellStart"/>
      <w:r w:rsidRPr="002C7F50">
        <w:rPr>
          <w:rFonts w:ascii="Garamond" w:eastAsia="Times New Roman" w:hAnsi="Garamond"/>
          <w:sz w:val="24"/>
          <w:szCs w:val="24"/>
          <w:highlight w:val="yellow"/>
          <w:lang w:eastAsia="pt-BR"/>
        </w:rPr>
        <w:t>Hanushek</w:t>
      </w:r>
      <w:proofErr w:type="spellEnd"/>
      <w:r w:rsidRPr="002C7F50">
        <w:rPr>
          <w:rFonts w:ascii="Garamond" w:eastAsia="Times New Roman" w:hAnsi="Garamond"/>
          <w:sz w:val="24"/>
          <w:szCs w:val="24"/>
          <w:highlight w:val="yellow"/>
          <w:lang w:eastAsia="pt-BR"/>
        </w:rPr>
        <w:t xml:space="preserve"> e </w:t>
      </w:r>
      <w:proofErr w:type="spellStart"/>
      <w:r w:rsidRPr="002C7F50">
        <w:rPr>
          <w:rFonts w:ascii="Garamond" w:eastAsia="Times New Roman" w:hAnsi="Garamond"/>
          <w:sz w:val="24"/>
          <w:szCs w:val="24"/>
          <w:highlight w:val="yellow"/>
          <w:lang w:eastAsia="pt-BR"/>
        </w:rPr>
        <w:t>Woessmann</w:t>
      </w:r>
      <w:proofErr w:type="spellEnd"/>
      <w:r w:rsidRPr="002C7F50">
        <w:rPr>
          <w:rFonts w:ascii="Garamond" w:eastAsia="Times New Roman" w:hAnsi="Garamond"/>
          <w:sz w:val="24"/>
          <w:szCs w:val="24"/>
          <w:highlight w:val="yellow"/>
          <w:lang w:eastAsia="pt-BR"/>
        </w:rPr>
        <w:t xml:space="preserve"> (2011a) destacam o importante papel do desempenho educacional para compreensão das grandes diferenças internacionais de bem-estar econômico. Os resultados apontam que variações nas habilidades cognitivas – medidas a partir dos testes internacionais – são fortemente relacionadas com os resultados individuais do mercado de trabalho e, também, a variações no crescimento econômico entre países.</w:t>
      </w:r>
    </w:p>
    <w:p w:rsidR="00BA7C9C" w:rsidRPr="002C7F50" w:rsidRDefault="00BA7C9C" w:rsidP="00BA7C9C">
      <w:pPr>
        <w:spacing w:after="0" w:line="240" w:lineRule="auto"/>
        <w:ind w:firstLine="851"/>
        <w:jc w:val="both"/>
        <w:rPr>
          <w:rFonts w:ascii="Garamond" w:eastAsia="Times New Roman" w:hAnsi="Garamond"/>
          <w:sz w:val="24"/>
          <w:szCs w:val="24"/>
          <w:highlight w:val="yellow"/>
          <w:lang w:eastAsia="pt-BR"/>
        </w:rPr>
      </w:pPr>
      <w:r w:rsidRPr="002C7F50">
        <w:rPr>
          <w:rFonts w:ascii="Garamond" w:eastAsia="Times New Roman" w:hAnsi="Garamond"/>
          <w:sz w:val="24"/>
          <w:szCs w:val="24"/>
          <w:highlight w:val="yellow"/>
          <w:lang w:eastAsia="pt-BR"/>
        </w:rPr>
        <w:t xml:space="preserve">Em estudo para países da OCDE, </w:t>
      </w:r>
      <w:proofErr w:type="spellStart"/>
      <w:r w:rsidRPr="002C7F50">
        <w:rPr>
          <w:rFonts w:ascii="Garamond" w:eastAsia="Times New Roman" w:hAnsi="Garamond"/>
          <w:sz w:val="24"/>
          <w:szCs w:val="24"/>
          <w:highlight w:val="yellow"/>
          <w:lang w:eastAsia="pt-BR"/>
        </w:rPr>
        <w:t>Hanushek</w:t>
      </w:r>
      <w:proofErr w:type="spellEnd"/>
      <w:r w:rsidRPr="002C7F50">
        <w:rPr>
          <w:rFonts w:ascii="Garamond" w:eastAsia="Times New Roman" w:hAnsi="Garamond"/>
          <w:sz w:val="24"/>
          <w:szCs w:val="24"/>
          <w:highlight w:val="yellow"/>
          <w:lang w:eastAsia="pt-BR"/>
        </w:rPr>
        <w:t xml:space="preserve"> e </w:t>
      </w:r>
      <w:proofErr w:type="spellStart"/>
      <w:r w:rsidRPr="002C7F50">
        <w:rPr>
          <w:rFonts w:ascii="Garamond" w:eastAsia="Times New Roman" w:hAnsi="Garamond"/>
          <w:sz w:val="24"/>
          <w:szCs w:val="24"/>
          <w:highlight w:val="yellow"/>
          <w:lang w:eastAsia="pt-BR"/>
        </w:rPr>
        <w:t>Woessmann</w:t>
      </w:r>
      <w:proofErr w:type="spellEnd"/>
      <w:r w:rsidRPr="002C7F50">
        <w:rPr>
          <w:rFonts w:ascii="Garamond" w:eastAsia="Times New Roman" w:hAnsi="Garamond"/>
          <w:sz w:val="24"/>
          <w:szCs w:val="24"/>
          <w:highlight w:val="yellow"/>
          <w:lang w:eastAsia="pt-BR"/>
        </w:rPr>
        <w:t xml:space="preserve"> (2011b) mostram que habilidades cognitivas podem explicar diferenças de crescimento em nações ricas. Os autores observam que melhorias em capital humano, medido por habilidades cognitivas, podem melhorar substancialmente o bem-estar econômico de longo prazo. Eles observam ainda, que nenhum aparato institucional é capaz de ajudar a explicar as diferenças de crescimento de longo prazo para sua amostra de países – o que já se podia esperar, visto que estes países possuem o mesmo aparato institucional básico –, corroborando, de certa forma, com os resultados de </w:t>
      </w:r>
      <w:proofErr w:type="spellStart"/>
      <w:r w:rsidRPr="002C7F50">
        <w:rPr>
          <w:rFonts w:ascii="Garamond" w:eastAsia="Times New Roman" w:hAnsi="Garamond"/>
          <w:sz w:val="24"/>
          <w:szCs w:val="24"/>
          <w:highlight w:val="yellow"/>
          <w:lang w:eastAsia="pt-BR"/>
        </w:rPr>
        <w:t>Glaeser</w:t>
      </w:r>
      <w:proofErr w:type="spellEnd"/>
      <w:r w:rsidRPr="002C7F50">
        <w:rPr>
          <w:rFonts w:ascii="Garamond" w:eastAsia="Times New Roman" w:hAnsi="Garamond"/>
          <w:sz w:val="24"/>
          <w:szCs w:val="24"/>
          <w:highlight w:val="yellow"/>
          <w:lang w:eastAsia="pt-BR"/>
        </w:rPr>
        <w:t xml:space="preserve"> </w:t>
      </w:r>
      <w:proofErr w:type="gramStart"/>
      <w:r w:rsidRPr="002C7F50">
        <w:rPr>
          <w:rFonts w:ascii="Garamond" w:eastAsia="Times New Roman" w:hAnsi="Garamond"/>
          <w:i/>
          <w:sz w:val="24"/>
          <w:szCs w:val="24"/>
          <w:highlight w:val="yellow"/>
          <w:lang w:eastAsia="pt-BR"/>
        </w:rPr>
        <w:t>et</w:t>
      </w:r>
      <w:proofErr w:type="gramEnd"/>
      <w:r w:rsidRPr="002C7F50">
        <w:rPr>
          <w:rFonts w:ascii="Garamond" w:eastAsia="Times New Roman" w:hAnsi="Garamond"/>
          <w:i/>
          <w:sz w:val="24"/>
          <w:szCs w:val="24"/>
          <w:highlight w:val="yellow"/>
          <w:lang w:eastAsia="pt-BR"/>
        </w:rPr>
        <w:t xml:space="preserve"> </w:t>
      </w:r>
      <w:proofErr w:type="spellStart"/>
      <w:r w:rsidRPr="002C7F50">
        <w:rPr>
          <w:rFonts w:ascii="Garamond" w:eastAsia="Times New Roman" w:hAnsi="Garamond"/>
          <w:i/>
          <w:sz w:val="24"/>
          <w:szCs w:val="24"/>
          <w:highlight w:val="yellow"/>
          <w:lang w:eastAsia="pt-BR"/>
        </w:rPr>
        <w:t>alli</w:t>
      </w:r>
      <w:proofErr w:type="spellEnd"/>
      <w:r w:rsidRPr="002C7F50">
        <w:rPr>
          <w:rFonts w:ascii="Garamond" w:eastAsia="Times New Roman" w:hAnsi="Garamond"/>
          <w:sz w:val="24"/>
          <w:szCs w:val="24"/>
          <w:highlight w:val="yellow"/>
          <w:lang w:eastAsia="pt-BR"/>
        </w:rPr>
        <w:t xml:space="preserve"> (2004).</w:t>
      </w:r>
    </w:p>
    <w:p w:rsidR="00BA7C9C" w:rsidRPr="002C7F50" w:rsidRDefault="00BA7C9C" w:rsidP="00BA7C9C">
      <w:pPr>
        <w:spacing w:after="0" w:line="240" w:lineRule="auto"/>
        <w:ind w:firstLine="851"/>
        <w:jc w:val="both"/>
        <w:rPr>
          <w:rFonts w:ascii="Garamond" w:eastAsia="Times New Roman" w:hAnsi="Garamond"/>
          <w:sz w:val="24"/>
          <w:szCs w:val="24"/>
          <w:highlight w:val="yellow"/>
          <w:lang w:eastAsia="pt-BR"/>
        </w:rPr>
      </w:pPr>
      <w:proofErr w:type="spellStart"/>
      <w:r w:rsidRPr="002C7F50">
        <w:rPr>
          <w:rFonts w:ascii="Garamond" w:eastAsia="Times New Roman" w:hAnsi="Garamond"/>
          <w:sz w:val="24"/>
          <w:szCs w:val="24"/>
          <w:highlight w:val="yellow"/>
          <w:lang w:eastAsia="pt-BR"/>
        </w:rPr>
        <w:t>Hanushek</w:t>
      </w:r>
      <w:proofErr w:type="spellEnd"/>
      <w:r w:rsidRPr="002C7F50">
        <w:rPr>
          <w:rFonts w:ascii="Garamond" w:eastAsia="Times New Roman" w:hAnsi="Garamond"/>
          <w:sz w:val="24"/>
          <w:szCs w:val="24"/>
          <w:highlight w:val="yellow"/>
          <w:lang w:eastAsia="pt-BR"/>
        </w:rPr>
        <w:t xml:space="preserve"> e </w:t>
      </w:r>
      <w:proofErr w:type="spellStart"/>
      <w:r w:rsidRPr="002C7F50">
        <w:rPr>
          <w:rFonts w:ascii="Garamond" w:eastAsia="Times New Roman" w:hAnsi="Garamond"/>
          <w:sz w:val="24"/>
          <w:szCs w:val="24"/>
          <w:highlight w:val="yellow"/>
          <w:lang w:eastAsia="pt-BR"/>
        </w:rPr>
        <w:t>Woessmann</w:t>
      </w:r>
      <w:proofErr w:type="spellEnd"/>
      <w:r w:rsidRPr="002C7F50">
        <w:rPr>
          <w:rFonts w:ascii="Garamond" w:eastAsia="Times New Roman" w:hAnsi="Garamond"/>
          <w:sz w:val="24"/>
          <w:szCs w:val="24"/>
          <w:highlight w:val="yellow"/>
          <w:lang w:eastAsia="pt-BR"/>
        </w:rPr>
        <w:t xml:space="preserve"> (2012) afirmam que o desenvolvimento econômico da América Latina vem sendo tratado como um enigma, devido seu baixo desempenho desde meados do último século a despeito de seu alto nível de escolaridade à época. Este enigma pode ser solucionado ao se considerar medidas exógenas de desempenho educacional – habilidade cognitiva – decorrentes de determinantes históricos e institucionais do desempenho educacional. A intuição é que, mesmo com alto nível de escolaridade, esta região permaneceu com baixo nível de habilidades cognitivas, um importante determinante do crescimento econômico de longo prazo. Isto é, o alto grau de escolaridad</w:t>
      </w:r>
      <w:bookmarkStart w:id="0" w:name="_GoBack"/>
      <w:bookmarkEnd w:id="0"/>
      <w:r w:rsidRPr="002C7F50">
        <w:rPr>
          <w:rFonts w:ascii="Garamond" w:eastAsia="Times New Roman" w:hAnsi="Garamond"/>
          <w:sz w:val="24"/>
          <w:szCs w:val="24"/>
          <w:highlight w:val="yellow"/>
          <w:lang w:eastAsia="pt-BR"/>
        </w:rPr>
        <w:t xml:space="preserve">e não se traduziu em melhorias nas habilidades cognitivas. Em Brasil e Peru, por exemplo, aproximadamente </w:t>
      </w:r>
      <w:proofErr w:type="gramStart"/>
      <w:r w:rsidRPr="002C7F50">
        <w:rPr>
          <w:rFonts w:ascii="Garamond" w:eastAsia="Times New Roman" w:hAnsi="Garamond"/>
          <w:sz w:val="24"/>
          <w:szCs w:val="24"/>
          <w:highlight w:val="yellow"/>
          <w:lang w:eastAsia="pt-BR"/>
        </w:rPr>
        <w:t>1</w:t>
      </w:r>
      <w:proofErr w:type="gramEnd"/>
      <w:r w:rsidRPr="002C7F50">
        <w:rPr>
          <w:rFonts w:ascii="Garamond" w:eastAsia="Times New Roman" w:hAnsi="Garamond"/>
          <w:sz w:val="24"/>
          <w:szCs w:val="24"/>
          <w:highlight w:val="yellow"/>
          <w:lang w:eastAsia="pt-BR"/>
        </w:rPr>
        <w:t xml:space="preserve"> em cada 10 crianças pode ser considerada funcionalmente alfabetizada no fim da adolescência. Os autores concluem que o desempenho educacional é responsável por algo entre </w:t>
      </w:r>
      <m:oMath>
        <m:f>
          <m:fPr>
            <m:type m:val="lin"/>
            <m:ctrlPr>
              <w:rPr>
                <w:rFonts w:ascii="Cambria Math" w:eastAsia="Times New Roman" w:hAnsi="Cambria Math"/>
                <w:i/>
                <w:sz w:val="24"/>
                <w:szCs w:val="24"/>
                <w:highlight w:val="yellow"/>
                <w:lang w:eastAsia="pt-BR"/>
              </w:rPr>
            </m:ctrlPr>
          </m:fPr>
          <m:num>
            <m:r>
              <w:rPr>
                <w:rFonts w:ascii="Cambria Math" w:eastAsia="Times New Roman" w:hAnsi="Cambria Math"/>
                <w:sz w:val="24"/>
                <w:szCs w:val="24"/>
                <w:highlight w:val="yellow"/>
                <w:lang w:eastAsia="pt-BR"/>
              </w:rPr>
              <m:t>1</m:t>
            </m:r>
          </m:num>
          <m:den>
            <m:r>
              <w:rPr>
                <w:rFonts w:ascii="Cambria Math" w:eastAsia="Times New Roman" w:hAnsi="Cambria Math"/>
                <w:sz w:val="24"/>
                <w:szCs w:val="24"/>
                <w:highlight w:val="yellow"/>
                <w:lang w:eastAsia="pt-BR"/>
              </w:rPr>
              <m:t>2</m:t>
            </m:r>
          </m:den>
        </m:f>
      </m:oMath>
      <w:r w:rsidRPr="002C7F50">
        <w:rPr>
          <w:rFonts w:ascii="Garamond" w:eastAsia="Times New Roman" w:hAnsi="Garamond"/>
          <w:sz w:val="24"/>
          <w:szCs w:val="24"/>
          <w:highlight w:val="yellow"/>
          <w:lang w:eastAsia="pt-BR"/>
        </w:rPr>
        <w:t xml:space="preserve"> e </w:t>
      </w:r>
      <m:oMath>
        <m:f>
          <m:fPr>
            <m:type m:val="lin"/>
            <m:ctrlPr>
              <w:rPr>
                <w:rFonts w:ascii="Cambria Math" w:eastAsia="Times New Roman" w:hAnsi="Cambria Math"/>
                <w:i/>
                <w:sz w:val="24"/>
                <w:szCs w:val="24"/>
                <w:highlight w:val="yellow"/>
                <w:lang w:eastAsia="pt-BR"/>
              </w:rPr>
            </m:ctrlPr>
          </m:fPr>
          <m:num>
            <m:r>
              <w:rPr>
                <w:rFonts w:ascii="Cambria Math" w:eastAsia="Times New Roman" w:hAnsi="Cambria Math"/>
                <w:sz w:val="24"/>
                <w:szCs w:val="24"/>
                <w:highlight w:val="yellow"/>
                <w:lang w:eastAsia="pt-BR"/>
              </w:rPr>
              <m:t>2</m:t>
            </m:r>
          </m:num>
          <m:den>
            <m:r>
              <w:rPr>
                <w:rFonts w:ascii="Cambria Math" w:eastAsia="Times New Roman" w:hAnsi="Cambria Math"/>
                <w:sz w:val="24"/>
                <w:szCs w:val="24"/>
                <w:highlight w:val="yellow"/>
                <w:lang w:eastAsia="pt-BR"/>
              </w:rPr>
              <m:t>3</m:t>
            </m:r>
          </m:den>
        </m:f>
      </m:oMath>
      <w:r w:rsidRPr="002C7F50">
        <w:rPr>
          <w:rFonts w:ascii="Garamond" w:eastAsia="Times New Roman" w:hAnsi="Garamond"/>
          <w:sz w:val="24"/>
          <w:szCs w:val="24"/>
          <w:highlight w:val="yellow"/>
          <w:lang w:eastAsia="pt-BR"/>
        </w:rPr>
        <w:t xml:space="preserve"> da diferença de renda existente entre a América Latina e o resto do mundo. </w:t>
      </w:r>
    </w:p>
    <w:p w:rsidR="00BA7C9C" w:rsidRPr="002C7F50" w:rsidRDefault="00BA7C9C" w:rsidP="00BA7C9C">
      <w:pPr>
        <w:spacing w:after="0" w:line="240" w:lineRule="auto"/>
        <w:ind w:firstLine="851"/>
        <w:jc w:val="both"/>
        <w:rPr>
          <w:rFonts w:ascii="Garamond" w:hAnsi="Garamond"/>
          <w:sz w:val="24"/>
          <w:szCs w:val="24"/>
          <w:highlight w:val="yellow"/>
        </w:rPr>
      </w:pPr>
      <w:proofErr w:type="spellStart"/>
      <w:r w:rsidRPr="002C7F50">
        <w:rPr>
          <w:rFonts w:ascii="Garamond" w:eastAsia="Times New Roman" w:hAnsi="Garamond"/>
          <w:sz w:val="24"/>
          <w:szCs w:val="24"/>
          <w:highlight w:val="yellow"/>
          <w:lang w:eastAsia="pt-BR"/>
        </w:rPr>
        <w:t>Acemoglu</w:t>
      </w:r>
      <w:proofErr w:type="spellEnd"/>
      <w:r w:rsidRPr="002C7F50">
        <w:rPr>
          <w:rFonts w:ascii="Garamond" w:eastAsia="Times New Roman" w:hAnsi="Garamond"/>
          <w:sz w:val="24"/>
          <w:szCs w:val="24"/>
          <w:highlight w:val="yellow"/>
          <w:lang w:eastAsia="pt-BR"/>
        </w:rPr>
        <w:t xml:space="preserve">, </w:t>
      </w:r>
      <w:proofErr w:type="spellStart"/>
      <w:r w:rsidRPr="002C7F50">
        <w:rPr>
          <w:rFonts w:ascii="Garamond" w:eastAsia="Times New Roman" w:hAnsi="Garamond"/>
          <w:sz w:val="24"/>
          <w:szCs w:val="24"/>
          <w:highlight w:val="yellow"/>
          <w:lang w:eastAsia="pt-BR"/>
        </w:rPr>
        <w:t>Gallego</w:t>
      </w:r>
      <w:proofErr w:type="spellEnd"/>
      <w:r w:rsidRPr="002C7F50">
        <w:rPr>
          <w:rFonts w:ascii="Garamond" w:eastAsia="Times New Roman" w:hAnsi="Garamond"/>
          <w:sz w:val="24"/>
          <w:szCs w:val="24"/>
          <w:highlight w:val="yellow"/>
          <w:lang w:eastAsia="pt-BR"/>
        </w:rPr>
        <w:t xml:space="preserve"> e Robinson (2014), doravante AGR (2014), afirmam que modelos empíricos que tratam instituições e capital humano como exógenos estão mal especificados – há problemas de </w:t>
      </w:r>
      <w:proofErr w:type="spellStart"/>
      <w:r w:rsidRPr="002C7F50">
        <w:rPr>
          <w:rFonts w:ascii="Garamond" w:eastAsia="Times New Roman" w:hAnsi="Garamond"/>
          <w:sz w:val="24"/>
          <w:szCs w:val="24"/>
          <w:highlight w:val="yellow"/>
          <w:lang w:eastAsia="pt-BR"/>
        </w:rPr>
        <w:t>endogeneidade</w:t>
      </w:r>
      <w:proofErr w:type="spellEnd"/>
      <w:r w:rsidRPr="002C7F50">
        <w:rPr>
          <w:rFonts w:ascii="Garamond" w:eastAsia="Times New Roman" w:hAnsi="Garamond"/>
          <w:sz w:val="24"/>
          <w:szCs w:val="24"/>
          <w:highlight w:val="yellow"/>
          <w:lang w:eastAsia="pt-BR"/>
        </w:rPr>
        <w:t xml:space="preserve"> e erro de medida em ambas -, sendo esta especificação ruim a principal fonte dos grandes retornos do capital humano em relação às estimações abordando a especificação </w:t>
      </w:r>
      <w:proofErr w:type="spellStart"/>
      <w:r w:rsidRPr="002C7F50">
        <w:rPr>
          <w:rFonts w:ascii="Garamond" w:eastAsia="Times New Roman" w:hAnsi="Garamond"/>
          <w:sz w:val="24"/>
          <w:szCs w:val="24"/>
          <w:highlight w:val="yellow"/>
          <w:lang w:eastAsia="pt-BR"/>
        </w:rPr>
        <w:t>Minceriana</w:t>
      </w:r>
      <w:proofErr w:type="spellEnd"/>
      <w:r w:rsidRPr="002C7F50">
        <w:rPr>
          <w:rFonts w:ascii="Garamond" w:eastAsia="Times New Roman" w:hAnsi="Garamond"/>
          <w:sz w:val="24"/>
          <w:szCs w:val="24"/>
          <w:highlight w:val="yellow"/>
          <w:lang w:eastAsia="pt-BR"/>
        </w:rPr>
        <w:t xml:space="preserve">. Neste sentido, ao levar em consideração estes problemas, os autores estimam que a variável referente à qualidade institucional seja o principal determinante do crescimento de longo-prazo, enquanto os retornos do capital humano aproximam-se dos resultados obtidos em estimações de equações </w:t>
      </w:r>
      <w:proofErr w:type="spellStart"/>
      <w:r w:rsidRPr="002C7F50">
        <w:rPr>
          <w:rFonts w:ascii="Garamond" w:eastAsia="Times New Roman" w:hAnsi="Garamond"/>
          <w:sz w:val="24"/>
          <w:szCs w:val="24"/>
          <w:highlight w:val="yellow"/>
          <w:lang w:eastAsia="pt-BR"/>
        </w:rPr>
        <w:t>mincerianas</w:t>
      </w:r>
      <w:proofErr w:type="spellEnd"/>
      <w:r w:rsidRPr="002C7F50">
        <w:rPr>
          <w:rFonts w:ascii="Garamond" w:eastAsia="Times New Roman" w:hAnsi="Garamond"/>
          <w:sz w:val="24"/>
          <w:szCs w:val="24"/>
          <w:highlight w:val="yellow"/>
          <w:lang w:eastAsia="pt-BR"/>
        </w:rPr>
        <w:t xml:space="preserve">. Tais resultados, vão na contramão do exposto em </w:t>
      </w:r>
      <w:proofErr w:type="spellStart"/>
      <w:r w:rsidRPr="002C7F50">
        <w:rPr>
          <w:rFonts w:ascii="Garamond" w:eastAsia="Times New Roman" w:hAnsi="Garamond"/>
          <w:sz w:val="24"/>
          <w:szCs w:val="24"/>
          <w:highlight w:val="yellow"/>
          <w:lang w:eastAsia="pt-BR"/>
        </w:rPr>
        <w:t>Glaeser</w:t>
      </w:r>
      <w:proofErr w:type="spellEnd"/>
      <w:r w:rsidRPr="002C7F50">
        <w:rPr>
          <w:rFonts w:ascii="Garamond" w:eastAsia="Times New Roman" w:hAnsi="Garamond"/>
          <w:sz w:val="24"/>
          <w:szCs w:val="24"/>
          <w:highlight w:val="yellow"/>
          <w:lang w:eastAsia="pt-BR"/>
        </w:rPr>
        <w:t xml:space="preserve"> </w:t>
      </w:r>
      <w:proofErr w:type="gramStart"/>
      <w:r w:rsidRPr="002C7F50">
        <w:rPr>
          <w:rFonts w:ascii="Garamond" w:eastAsia="Times New Roman" w:hAnsi="Garamond"/>
          <w:i/>
          <w:sz w:val="24"/>
          <w:szCs w:val="24"/>
          <w:highlight w:val="yellow"/>
          <w:lang w:eastAsia="pt-BR"/>
        </w:rPr>
        <w:t>et</w:t>
      </w:r>
      <w:proofErr w:type="gramEnd"/>
      <w:r w:rsidRPr="002C7F50">
        <w:rPr>
          <w:rFonts w:ascii="Garamond" w:eastAsia="Times New Roman" w:hAnsi="Garamond"/>
          <w:i/>
          <w:sz w:val="24"/>
          <w:szCs w:val="24"/>
          <w:highlight w:val="yellow"/>
          <w:lang w:eastAsia="pt-BR"/>
        </w:rPr>
        <w:t xml:space="preserve"> </w:t>
      </w:r>
      <w:proofErr w:type="spellStart"/>
      <w:r w:rsidRPr="002C7F50">
        <w:rPr>
          <w:rFonts w:ascii="Garamond" w:eastAsia="Times New Roman" w:hAnsi="Garamond"/>
          <w:i/>
          <w:sz w:val="24"/>
          <w:szCs w:val="24"/>
          <w:highlight w:val="yellow"/>
          <w:lang w:eastAsia="pt-BR"/>
        </w:rPr>
        <w:t>alli</w:t>
      </w:r>
      <w:proofErr w:type="spellEnd"/>
      <w:r w:rsidRPr="002C7F50">
        <w:rPr>
          <w:rFonts w:ascii="Garamond" w:eastAsia="Times New Roman" w:hAnsi="Garamond"/>
          <w:sz w:val="24"/>
          <w:szCs w:val="24"/>
          <w:highlight w:val="yellow"/>
          <w:lang w:eastAsia="pt-BR"/>
        </w:rPr>
        <w:t xml:space="preserve"> (2004), inclusive, AGR (2014) argumentam que as na colônias de povoamento europeias havia capital humano inferior aquele de colônias extrativas, o que significa, nesta perspectiva, que as colônias de povoamento reportam instituições mais inclusivas não por conta do de seu nível de capital humano inicial, mas por conta das instituições europeias lá replicadas.</w:t>
      </w:r>
    </w:p>
    <w:p w:rsidR="00BA7C9C" w:rsidRPr="002C7F50" w:rsidRDefault="00BA7C9C" w:rsidP="00BA7C9C">
      <w:pPr>
        <w:spacing w:after="0" w:line="240" w:lineRule="auto"/>
        <w:ind w:firstLine="851"/>
        <w:jc w:val="both"/>
        <w:rPr>
          <w:rFonts w:ascii="Garamond" w:hAnsi="Garamond"/>
          <w:sz w:val="24"/>
          <w:szCs w:val="24"/>
          <w:highlight w:val="yellow"/>
        </w:rPr>
      </w:pPr>
      <w:r w:rsidRPr="002C7F50">
        <w:rPr>
          <w:rFonts w:ascii="Garamond" w:hAnsi="Garamond"/>
          <w:sz w:val="24"/>
          <w:szCs w:val="24"/>
          <w:highlight w:val="yellow"/>
        </w:rPr>
        <w:t xml:space="preserve">Portanto, em virtude das dificuldades associadas </w:t>
      </w:r>
      <w:proofErr w:type="gramStart"/>
      <w:r w:rsidRPr="002C7F50">
        <w:rPr>
          <w:rFonts w:ascii="Garamond" w:hAnsi="Garamond"/>
          <w:sz w:val="24"/>
          <w:szCs w:val="24"/>
          <w:highlight w:val="yellow"/>
        </w:rPr>
        <w:t>a</w:t>
      </w:r>
      <w:proofErr w:type="gramEnd"/>
      <w:r w:rsidRPr="002C7F50">
        <w:rPr>
          <w:rFonts w:ascii="Garamond" w:hAnsi="Garamond"/>
          <w:sz w:val="24"/>
          <w:szCs w:val="24"/>
          <w:highlight w:val="yellow"/>
        </w:rPr>
        <w:t xml:space="preserve"> construção de medidas fidedignas de capital humano, o presente estudo segue a linha proposta por </w:t>
      </w:r>
      <w:proofErr w:type="spellStart"/>
      <w:r w:rsidRPr="002C7F50">
        <w:rPr>
          <w:rFonts w:ascii="Garamond" w:hAnsi="Garamond"/>
          <w:sz w:val="24"/>
          <w:szCs w:val="24"/>
          <w:highlight w:val="yellow"/>
        </w:rPr>
        <w:t>Grossman</w:t>
      </w:r>
      <w:proofErr w:type="spellEnd"/>
      <w:r w:rsidRPr="002C7F50">
        <w:rPr>
          <w:rFonts w:ascii="Garamond" w:hAnsi="Garamond"/>
          <w:sz w:val="24"/>
          <w:szCs w:val="24"/>
          <w:highlight w:val="yellow"/>
        </w:rPr>
        <w:t xml:space="preserve"> e </w:t>
      </w:r>
      <w:proofErr w:type="spellStart"/>
      <w:r w:rsidRPr="002C7F50">
        <w:rPr>
          <w:rFonts w:ascii="Garamond" w:hAnsi="Garamond"/>
          <w:sz w:val="24"/>
          <w:szCs w:val="24"/>
          <w:highlight w:val="yellow"/>
        </w:rPr>
        <w:t>Helpman</w:t>
      </w:r>
      <w:proofErr w:type="spellEnd"/>
      <w:r w:rsidRPr="002C7F50">
        <w:rPr>
          <w:rFonts w:ascii="Garamond" w:hAnsi="Garamond"/>
          <w:sz w:val="24"/>
          <w:szCs w:val="24"/>
          <w:highlight w:val="yellow"/>
        </w:rPr>
        <w:t xml:space="preserve"> (1994) e Schultz (1961), isto é, utiliza-se de duas medidas</w:t>
      </w:r>
      <w:r w:rsidRPr="002C7F50">
        <w:rPr>
          <w:rStyle w:val="Refdenotadefim"/>
          <w:rFonts w:ascii="Garamond" w:hAnsi="Garamond"/>
          <w:sz w:val="24"/>
          <w:szCs w:val="24"/>
          <w:highlight w:val="yellow"/>
        </w:rPr>
        <w:endnoteReference w:id="3"/>
      </w:r>
      <w:r w:rsidRPr="002C7F50">
        <w:rPr>
          <w:rFonts w:ascii="Garamond" w:hAnsi="Garamond"/>
          <w:sz w:val="24"/>
          <w:szCs w:val="24"/>
          <w:highlight w:val="yellow"/>
        </w:rPr>
        <w:t xml:space="preserve"> de capital humano, baseadas no tempo gasto com o aumento da escolaridade, dadas pelo estoque de indivíduos com ensino fundamental e </w:t>
      </w:r>
      <w:r w:rsidRPr="002C7F50">
        <w:rPr>
          <w:rFonts w:ascii="Garamond" w:hAnsi="Garamond"/>
          <w:sz w:val="24"/>
          <w:szCs w:val="24"/>
          <w:highlight w:val="yellow"/>
        </w:rPr>
        <w:lastRenderedPageBreak/>
        <w:t xml:space="preserve">com ensino médio com vistas a captar possíveis impactos diferenciados da escolaridade sobre o nível de renda per capita dos municípios cearenses. Vale destacar que, uma medida mais fiel para incorporar os efeitos da qualidade do capital humano sobre o nível de renda desses municípios seria interessante </w:t>
      </w:r>
      <w:proofErr w:type="gramStart"/>
      <w:r w:rsidRPr="002C7F50">
        <w:rPr>
          <w:rFonts w:ascii="Garamond" w:hAnsi="Garamond"/>
          <w:sz w:val="24"/>
          <w:szCs w:val="24"/>
          <w:highlight w:val="yellow"/>
        </w:rPr>
        <w:t>a</w:t>
      </w:r>
      <w:proofErr w:type="gramEnd"/>
      <w:r w:rsidRPr="002C7F50">
        <w:rPr>
          <w:rFonts w:ascii="Garamond" w:hAnsi="Garamond"/>
          <w:sz w:val="24"/>
          <w:szCs w:val="24"/>
          <w:highlight w:val="yellow"/>
        </w:rPr>
        <w:t xml:space="preserve"> inclusão de um indicador que representasse a proporção de indivíduos com ensino superior, todavia, o INEP só disponibiliza informações para os níveis fundamental e médio. Apesar disso, como o nível educacional do Estado do Ceará é baixo, acredita-se que as </w:t>
      </w:r>
      <w:r w:rsidRPr="002C7F50">
        <w:rPr>
          <w:rFonts w:ascii="Garamond" w:hAnsi="Garamond"/>
          <w:i/>
          <w:sz w:val="24"/>
          <w:szCs w:val="24"/>
          <w:highlight w:val="yellow"/>
        </w:rPr>
        <w:t>proxies</w:t>
      </w:r>
      <w:r w:rsidRPr="002C7F50">
        <w:rPr>
          <w:rFonts w:ascii="Garamond" w:hAnsi="Garamond"/>
          <w:sz w:val="24"/>
          <w:szCs w:val="24"/>
          <w:highlight w:val="yellow"/>
        </w:rPr>
        <w:t xml:space="preserve"> empregadas conseguem captar bem os efeitos aqui investigados.</w:t>
      </w:r>
    </w:p>
    <w:p w:rsidR="00BA7C9C" w:rsidRPr="002C7F50" w:rsidRDefault="00BA7C9C" w:rsidP="004172BC">
      <w:pPr>
        <w:spacing w:after="0" w:line="240" w:lineRule="auto"/>
        <w:jc w:val="both"/>
        <w:rPr>
          <w:rFonts w:ascii="Garamond" w:eastAsia="Times New Roman" w:hAnsi="Garamond"/>
          <w:sz w:val="24"/>
          <w:szCs w:val="24"/>
          <w:highlight w:val="yellow"/>
          <w:lang w:eastAsia="pt-BR"/>
        </w:rPr>
      </w:pPr>
    </w:p>
    <w:p w:rsidR="00BA7C9C" w:rsidRPr="002C7F50" w:rsidRDefault="00BA7C9C" w:rsidP="004172BC">
      <w:pPr>
        <w:spacing w:after="0" w:line="240" w:lineRule="auto"/>
        <w:jc w:val="both"/>
        <w:rPr>
          <w:rFonts w:ascii="Garamond" w:eastAsia="Times New Roman" w:hAnsi="Garamond"/>
          <w:sz w:val="24"/>
          <w:szCs w:val="24"/>
          <w:highlight w:val="yellow"/>
          <w:lang w:eastAsia="pt-BR"/>
        </w:rPr>
      </w:pPr>
    </w:p>
    <w:p w:rsidR="00C807F6"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5</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xml:space="preserve">- Exportações municipais, em geral, não são boas medidas. As exportações não são contabilizadas, geralmente, nos municípios que efetivamente produzem o bem, mas sim no município de saída. Isso gera um grande erro de medida da variável. Creio que vale uma discussão sobre as características dos municípios utilizados e se isso seria um problema nas estimações. </w:t>
      </w:r>
    </w:p>
    <w:p w:rsidR="00C807F6" w:rsidRPr="002C7F50" w:rsidRDefault="00C807F6" w:rsidP="00310943">
      <w:pPr>
        <w:spacing w:after="0"/>
        <w:jc w:val="both"/>
        <w:rPr>
          <w:rFonts w:ascii="Garamond" w:eastAsia="Times New Roman" w:hAnsi="Garamond"/>
          <w:sz w:val="24"/>
          <w:szCs w:val="24"/>
          <w:lang w:eastAsia="pt-BR"/>
        </w:rPr>
      </w:pPr>
    </w:p>
    <w:p w:rsidR="00950593"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082936" w:rsidRPr="002C7F50">
        <w:rPr>
          <w:rFonts w:ascii="Garamond" w:hAnsi="Garamond"/>
          <w:i/>
          <w:sz w:val="24"/>
          <w:szCs w:val="24"/>
        </w:rPr>
        <w:t xml:space="preserve"> Sugestão Incorporada. De fato, no cálculo das exportações municipais, leva-se em conta o domicílio fiscal da empresa exportadora. Todavia, como a produção do Estado é bastante concentrada em polos com certa proximidade geográfica (O estado possui 184 municípios e a produção para exportação se mostra concentrada em menos de 50 deles) e não há muita diversificação na produção (O Estado atua basicamente em setores como </w:t>
      </w:r>
      <w:proofErr w:type="gramStart"/>
      <w:r w:rsidR="00082936" w:rsidRPr="002C7F50">
        <w:rPr>
          <w:rFonts w:ascii="Garamond" w:hAnsi="Garamond"/>
          <w:i/>
          <w:sz w:val="24"/>
          <w:szCs w:val="24"/>
        </w:rPr>
        <w:t>Têxtil, Calçados, Castanha de Caju e Couros</w:t>
      </w:r>
      <w:proofErr w:type="gramEnd"/>
      <w:r w:rsidR="00082936" w:rsidRPr="002C7F50">
        <w:rPr>
          <w:rFonts w:ascii="Garamond" w:hAnsi="Garamond"/>
          <w:i/>
          <w:sz w:val="24"/>
          <w:szCs w:val="24"/>
        </w:rPr>
        <w:t xml:space="preserve"> e Peles) acredita-se que esse problema de medida não afeta gravemente as estimações</w:t>
      </w:r>
      <w:r w:rsidR="00950593" w:rsidRPr="002C7F50">
        <w:rPr>
          <w:rFonts w:ascii="Garamond" w:hAnsi="Garamond"/>
          <w:i/>
          <w:sz w:val="24"/>
          <w:szCs w:val="24"/>
        </w:rPr>
        <w:t xml:space="preserve"> realizadas, sobretudo porque não há esse problema com o cálculo das importações. </w:t>
      </w:r>
    </w:p>
    <w:p w:rsidR="00950593" w:rsidRPr="002C7F50" w:rsidRDefault="00950593" w:rsidP="00310943">
      <w:pPr>
        <w:spacing w:after="0"/>
        <w:jc w:val="both"/>
        <w:rPr>
          <w:rFonts w:ascii="Garamond" w:hAnsi="Garamond"/>
          <w:i/>
          <w:sz w:val="24"/>
          <w:szCs w:val="24"/>
        </w:rPr>
      </w:pPr>
      <w:r w:rsidRPr="002C7F50">
        <w:rPr>
          <w:rFonts w:ascii="Garamond" w:hAnsi="Garamond"/>
          <w:i/>
          <w:sz w:val="24"/>
          <w:szCs w:val="24"/>
        </w:rPr>
        <w:t>Portanto, na seção de descrição e análise dos dados, foi incluída no texto a seguinte sentença:</w:t>
      </w:r>
    </w:p>
    <w:p w:rsidR="00950593" w:rsidRPr="002C7F50" w:rsidRDefault="00950593" w:rsidP="00310943">
      <w:pPr>
        <w:spacing w:after="0"/>
        <w:jc w:val="both"/>
        <w:rPr>
          <w:rFonts w:ascii="Garamond" w:hAnsi="Garamond"/>
          <w:i/>
          <w:sz w:val="24"/>
          <w:szCs w:val="24"/>
        </w:rPr>
      </w:pPr>
    </w:p>
    <w:p w:rsidR="00950593" w:rsidRPr="002C7F50" w:rsidRDefault="00950593" w:rsidP="004172BC">
      <w:pPr>
        <w:spacing w:after="0" w:line="240" w:lineRule="auto"/>
        <w:jc w:val="both"/>
        <w:rPr>
          <w:rFonts w:ascii="Garamond" w:hAnsi="Garamond"/>
          <w:sz w:val="24"/>
          <w:szCs w:val="24"/>
        </w:rPr>
      </w:pPr>
      <w:r w:rsidRPr="002C7F50">
        <w:rPr>
          <w:rFonts w:ascii="Garamond" w:hAnsi="Garamond"/>
          <w:sz w:val="24"/>
          <w:szCs w:val="24"/>
        </w:rPr>
        <w:t xml:space="preserve">O grau de abertura comercial, aferido a partir da razão entre a soma das exportações e importações e o PIB, foi construído a partir dos dados da Secretaria de Comércio Exterior do Ministério do Desenvolvimento, Indústria e Comércio (SECEX/MDIC) nos moldes de Arruda </w:t>
      </w:r>
      <w:proofErr w:type="gramStart"/>
      <w:r w:rsidRPr="002C7F50">
        <w:rPr>
          <w:rFonts w:ascii="Garamond" w:hAnsi="Garamond"/>
          <w:sz w:val="24"/>
          <w:szCs w:val="24"/>
        </w:rPr>
        <w:t>et</w:t>
      </w:r>
      <w:proofErr w:type="gramEnd"/>
      <w:r w:rsidRPr="002C7F50">
        <w:rPr>
          <w:rFonts w:ascii="Garamond" w:hAnsi="Garamond"/>
          <w:sz w:val="24"/>
          <w:szCs w:val="24"/>
        </w:rPr>
        <w:t xml:space="preserve"> </w:t>
      </w:r>
      <w:proofErr w:type="spellStart"/>
      <w:r w:rsidRPr="002C7F50">
        <w:rPr>
          <w:rFonts w:ascii="Garamond" w:hAnsi="Garamond"/>
          <w:sz w:val="24"/>
          <w:szCs w:val="24"/>
        </w:rPr>
        <w:t>all</w:t>
      </w:r>
      <w:proofErr w:type="spellEnd"/>
      <w:r w:rsidRPr="002C7F50">
        <w:rPr>
          <w:rFonts w:ascii="Garamond" w:hAnsi="Garamond"/>
          <w:sz w:val="24"/>
          <w:szCs w:val="24"/>
        </w:rPr>
        <w:t xml:space="preserve"> (2013). Sendo assim, os efeitos assimétricos da abertura comercial serão captados por meio da inclusão de </w:t>
      </w:r>
      <w:proofErr w:type="spellStart"/>
      <w:r w:rsidRPr="002C7F50">
        <w:rPr>
          <w:rFonts w:ascii="Garamond" w:hAnsi="Garamond"/>
          <w:i/>
          <w:sz w:val="24"/>
          <w:szCs w:val="24"/>
        </w:rPr>
        <w:t>dummies</w:t>
      </w:r>
      <w:proofErr w:type="spellEnd"/>
      <w:r w:rsidRPr="002C7F50">
        <w:rPr>
          <w:rFonts w:ascii="Garamond" w:hAnsi="Garamond"/>
          <w:sz w:val="24"/>
          <w:szCs w:val="24"/>
        </w:rPr>
        <w:t xml:space="preserve"> </w:t>
      </w:r>
      <w:proofErr w:type="spellStart"/>
      <w:r w:rsidRPr="002C7F50">
        <w:rPr>
          <w:rFonts w:ascii="Garamond" w:hAnsi="Garamond"/>
          <w:sz w:val="24"/>
          <w:szCs w:val="24"/>
        </w:rPr>
        <w:t>interadas</w:t>
      </w:r>
      <w:proofErr w:type="spellEnd"/>
      <w:r w:rsidRPr="002C7F50">
        <w:rPr>
          <w:rFonts w:ascii="Garamond" w:hAnsi="Garamond"/>
          <w:sz w:val="24"/>
          <w:szCs w:val="24"/>
        </w:rPr>
        <w:t xml:space="preserve">, tendo como referência os municípios menos desenvolvidos. </w:t>
      </w:r>
      <w:r w:rsidRPr="002C7F50">
        <w:rPr>
          <w:rFonts w:ascii="Garamond" w:hAnsi="Garamond"/>
          <w:sz w:val="24"/>
          <w:szCs w:val="24"/>
          <w:highlight w:val="yellow"/>
        </w:rPr>
        <w:t xml:space="preserve">Vale ressaltar que os dados de exportações municipais são problemáticos, uma vez que, em seu cálculo, leva-se em conta o domicílio fiscal da empresa exportadora e não o local onde foi produzido. Todavia, como a produção do Estado é bastante concentrada em polos com certa proximidade geográfica (o Estado possui 184 municípios e a produção para exportação se mostra concentrada em menos de 50 deles) e não há muita diversificação na produção (o Estado atua basicamente em setores como </w:t>
      </w:r>
      <w:proofErr w:type="gramStart"/>
      <w:r w:rsidRPr="002C7F50">
        <w:rPr>
          <w:rFonts w:ascii="Garamond" w:hAnsi="Garamond"/>
          <w:sz w:val="24"/>
          <w:szCs w:val="24"/>
          <w:highlight w:val="yellow"/>
        </w:rPr>
        <w:t>Têxtil, Calçados, Castanha de Caju e Couros</w:t>
      </w:r>
      <w:proofErr w:type="gramEnd"/>
      <w:r w:rsidRPr="002C7F50">
        <w:rPr>
          <w:rFonts w:ascii="Garamond" w:hAnsi="Garamond"/>
          <w:sz w:val="24"/>
          <w:szCs w:val="24"/>
          <w:highlight w:val="yellow"/>
        </w:rPr>
        <w:t xml:space="preserve"> e Peles) acredita-se que esse problema de medida não afeta gravemente as estimações realizadas, sobretudo porque não há esse problema com o cálculo das importações.</w:t>
      </w:r>
      <w:r w:rsidRPr="002C7F50">
        <w:rPr>
          <w:rFonts w:ascii="Garamond" w:hAnsi="Garamond"/>
          <w:sz w:val="24"/>
          <w:szCs w:val="24"/>
        </w:rPr>
        <w:t xml:space="preserve"> </w:t>
      </w:r>
    </w:p>
    <w:p w:rsidR="00950593" w:rsidRPr="002C7F50" w:rsidRDefault="00950593" w:rsidP="00310943">
      <w:pPr>
        <w:spacing w:after="0"/>
        <w:jc w:val="both"/>
        <w:rPr>
          <w:rFonts w:ascii="Garamond" w:hAnsi="Garamond"/>
          <w:i/>
          <w:sz w:val="24"/>
          <w:szCs w:val="24"/>
        </w:rPr>
      </w:pPr>
    </w:p>
    <w:p w:rsidR="00310943"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6</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xml:space="preserve">- Em relação ao gráfico </w:t>
      </w:r>
      <w:proofErr w:type="gramStart"/>
      <w:r w:rsidRPr="002C7F50">
        <w:rPr>
          <w:rFonts w:ascii="Garamond" w:eastAsia="Times New Roman" w:hAnsi="Garamond"/>
          <w:sz w:val="24"/>
          <w:szCs w:val="24"/>
          <w:lang w:eastAsia="pt-BR"/>
        </w:rPr>
        <w:t>1</w:t>
      </w:r>
      <w:proofErr w:type="gramEnd"/>
      <w:r w:rsidRPr="002C7F50">
        <w:rPr>
          <w:rFonts w:ascii="Garamond" w:eastAsia="Times New Roman" w:hAnsi="Garamond"/>
          <w:sz w:val="24"/>
          <w:szCs w:val="24"/>
          <w:lang w:eastAsia="pt-BR"/>
        </w:rPr>
        <w:t xml:space="preserve">, foi mencionado que os municípios do Polo apresentaram maior crescimento econômico. Isso não parece ser correto. Pode-se afirmar que apresentaram maior nível de PIB </w:t>
      </w:r>
      <w:proofErr w:type="spellStart"/>
      <w:proofErr w:type="gramStart"/>
      <w:r w:rsidRPr="002C7F50">
        <w:rPr>
          <w:rFonts w:ascii="Garamond" w:eastAsia="Times New Roman" w:hAnsi="Garamond"/>
          <w:sz w:val="24"/>
          <w:szCs w:val="24"/>
          <w:lang w:eastAsia="pt-BR"/>
        </w:rPr>
        <w:t>pc</w:t>
      </w:r>
      <w:proofErr w:type="spellEnd"/>
      <w:proofErr w:type="gramEnd"/>
      <w:r w:rsidRPr="002C7F50">
        <w:rPr>
          <w:rFonts w:ascii="Garamond" w:eastAsia="Times New Roman" w:hAnsi="Garamond"/>
          <w:sz w:val="24"/>
          <w:szCs w:val="24"/>
          <w:lang w:eastAsia="pt-BR"/>
        </w:rPr>
        <w:t xml:space="preserve"> apenas.</w:t>
      </w:r>
    </w:p>
    <w:p w:rsidR="00C807F6" w:rsidRPr="002C7F50" w:rsidRDefault="00C807F6" w:rsidP="00310943">
      <w:pPr>
        <w:spacing w:after="0"/>
        <w:jc w:val="both"/>
        <w:rPr>
          <w:rFonts w:ascii="Garamond" w:hAnsi="Garamond"/>
          <w:i/>
          <w:sz w:val="24"/>
          <w:szCs w:val="24"/>
        </w:rPr>
      </w:pPr>
    </w:p>
    <w:p w:rsidR="00C807F6"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950593" w:rsidRPr="002C7F50">
        <w:rPr>
          <w:rFonts w:ascii="Garamond" w:hAnsi="Garamond"/>
          <w:i/>
          <w:sz w:val="24"/>
          <w:szCs w:val="24"/>
        </w:rPr>
        <w:t xml:space="preserve"> Sugestão Incorporada. De fato, houve um problema na redação, que foi corrigido e reescrito como:</w:t>
      </w:r>
    </w:p>
    <w:p w:rsidR="00950593" w:rsidRPr="002C7F50" w:rsidRDefault="00950593" w:rsidP="00310943">
      <w:pPr>
        <w:spacing w:after="0"/>
        <w:jc w:val="both"/>
        <w:rPr>
          <w:rFonts w:ascii="Garamond" w:hAnsi="Garamond"/>
          <w:i/>
          <w:sz w:val="24"/>
          <w:szCs w:val="24"/>
        </w:rPr>
      </w:pPr>
    </w:p>
    <w:p w:rsidR="00950593" w:rsidRPr="002C7F50" w:rsidRDefault="00950593" w:rsidP="00310943">
      <w:pPr>
        <w:spacing w:after="0"/>
        <w:jc w:val="both"/>
        <w:rPr>
          <w:rFonts w:ascii="Garamond" w:hAnsi="Garamond"/>
          <w:sz w:val="24"/>
          <w:szCs w:val="24"/>
          <w:highlight w:val="yellow"/>
        </w:rPr>
      </w:pPr>
      <w:r w:rsidRPr="002C7F50">
        <w:rPr>
          <w:rFonts w:ascii="Garamond" w:hAnsi="Garamond"/>
          <w:sz w:val="24"/>
          <w:szCs w:val="24"/>
          <w:highlight w:val="yellow"/>
        </w:rPr>
        <w:t xml:space="preserve">O Gráfico </w:t>
      </w:r>
      <w:proofErr w:type="gramStart"/>
      <w:r w:rsidRPr="002C7F50">
        <w:rPr>
          <w:rFonts w:ascii="Garamond" w:hAnsi="Garamond"/>
          <w:sz w:val="24"/>
          <w:szCs w:val="24"/>
          <w:highlight w:val="yellow"/>
        </w:rPr>
        <w:t>1</w:t>
      </w:r>
      <w:proofErr w:type="gramEnd"/>
      <w:r w:rsidRPr="002C7F50">
        <w:rPr>
          <w:rFonts w:ascii="Garamond" w:hAnsi="Garamond"/>
          <w:sz w:val="24"/>
          <w:szCs w:val="24"/>
          <w:highlight w:val="yellow"/>
        </w:rPr>
        <w:t xml:space="preserve"> reporta a evolução temporal do </w:t>
      </w:r>
      <w:proofErr w:type="spellStart"/>
      <w:r w:rsidRPr="002C7F50">
        <w:rPr>
          <w:rFonts w:ascii="Garamond" w:hAnsi="Garamond"/>
          <w:sz w:val="24"/>
          <w:szCs w:val="24"/>
          <w:highlight w:val="yellow"/>
        </w:rPr>
        <w:t>PIBpc</w:t>
      </w:r>
      <w:proofErr w:type="spellEnd"/>
      <w:r w:rsidRPr="002C7F50">
        <w:rPr>
          <w:rFonts w:ascii="Garamond" w:hAnsi="Garamond"/>
          <w:sz w:val="24"/>
          <w:szCs w:val="24"/>
          <w:highlight w:val="yellow"/>
        </w:rPr>
        <w:t xml:space="preserve"> médio entre os grupos de municípios descritos no Quadro 1. Observe que o Polo apresentou maiores níveis de </w:t>
      </w:r>
      <w:proofErr w:type="gramStart"/>
      <w:r w:rsidRPr="002C7F50">
        <w:rPr>
          <w:rFonts w:ascii="Garamond" w:hAnsi="Garamond"/>
          <w:sz w:val="24"/>
          <w:szCs w:val="24"/>
          <w:highlight w:val="yellow"/>
        </w:rPr>
        <w:t>renda per capita médio durante todo o período analisado</w:t>
      </w:r>
      <w:proofErr w:type="gramEnd"/>
      <w:r w:rsidR="001437C5" w:rsidRPr="002C7F50">
        <w:rPr>
          <w:rFonts w:ascii="Garamond" w:hAnsi="Garamond"/>
          <w:sz w:val="24"/>
          <w:szCs w:val="24"/>
          <w:highlight w:val="yellow"/>
        </w:rPr>
        <w:t>.</w:t>
      </w:r>
    </w:p>
    <w:p w:rsidR="00C807F6" w:rsidRPr="002C7F50" w:rsidRDefault="00C807F6" w:rsidP="00310943">
      <w:pPr>
        <w:spacing w:after="0"/>
        <w:jc w:val="both"/>
        <w:rPr>
          <w:rFonts w:ascii="Garamond" w:eastAsia="Times New Roman" w:hAnsi="Garamond"/>
          <w:sz w:val="24"/>
          <w:szCs w:val="24"/>
          <w:lang w:eastAsia="pt-BR"/>
        </w:rPr>
      </w:pPr>
    </w:p>
    <w:p w:rsidR="00310943"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7</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xml:space="preserve">- Em relação </w:t>
      </w:r>
      <w:proofErr w:type="gramStart"/>
      <w:r w:rsidRPr="002C7F50">
        <w:rPr>
          <w:rFonts w:ascii="Garamond" w:eastAsia="Times New Roman" w:hAnsi="Garamond"/>
          <w:sz w:val="24"/>
          <w:szCs w:val="24"/>
          <w:lang w:eastAsia="pt-BR"/>
        </w:rPr>
        <w:t>a</w:t>
      </w:r>
      <w:proofErr w:type="gramEnd"/>
      <w:r w:rsidRPr="002C7F50">
        <w:rPr>
          <w:rFonts w:ascii="Garamond" w:eastAsia="Times New Roman" w:hAnsi="Garamond"/>
          <w:sz w:val="24"/>
          <w:szCs w:val="24"/>
          <w:lang w:eastAsia="pt-BR"/>
        </w:rPr>
        <w:t xml:space="preserve"> metodologia, deveria ser discutido como foi feita a instrumentalização da variável de grau de abertura. O autor se preocupa em deixar claro o problema que o componente </w:t>
      </w:r>
      <w:proofErr w:type="spellStart"/>
      <w:r w:rsidRPr="002C7F50">
        <w:rPr>
          <w:rFonts w:ascii="Garamond" w:eastAsia="Times New Roman" w:hAnsi="Garamond"/>
          <w:sz w:val="24"/>
          <w:szCs w:val="24"/>
          <w:lang w:eastAsia="pt-BR"/>
        </w:rPr>
        <w:lastRenderedPageBreak/>
        <w:t>autorregresivo</w:t>
      </w:r>
      <w:proofErr w:type="spellEnd"/>
      <w:r w:rsidRPr="002C7F50">
        <w:rPr>
          <w:rFonts w:ascii="Garamond" w:eastAsia="Times New Roman" w:hAnsi="Garamond"/>
          <w:sz w:val="24"/>
          <w:szCs w:val="24"/>
          <w:lang w:eastAsia="pt-BR"/>
        </w:rPr>
        <w:t xml:space="preserve"> pode gerar e como lidar com isso. Entretanto, apenas na nota da tabela 4, ele menciona que grau de abertura foi </w:t>
      </w:r>
      <w:proofErr w:type="gramStart"/>
      <w:r w:rsidRPr="002C7F50">
        <w:rPr>
          <w:rFonts w:ascii="Garamond" w:eastAsia="Times New Roman" w:hAnsi="Garamond"/>
          <w:sz w:val="24"/>
          <w:szCs w:val="24"/>
          <w:lang w:eastAsia="pt-BR"/>
        </w:rPr>
        <w:t>tratada</w:t>
      </w:r>
      <w:proofErr w:type="gramEnd"/>
      <w:r w:rsidRPr="002C7F50">
        <w:rPr>
          <w:rFonts w:ascii="Garamond" w:eastAsia="Times New Roman" w:hAnsi="Garamond"/>
          <w:sz w:val="24"/>
          <w:szCs w:val="24"/>
          <w:lang w:eastAsia="pt-BR"/>
        </w:rPr>
        <w:t xml:space="preserve"> como endógena. Como isso foi feito? Quais as hipóteses?</w:t>
      </w:r>
    </w:p>
    <w:p w:rsidR="00C807F6" w:rsidRPr="002C7F50" w:rsidRDefault="00C807F6" w:rsidP="00310943">
      <w:pPr>
        <w:spacing w:after="0"/>
        <w:jc w:val="both"/>
        <w:rPr>
          <w:rFonts w:ascii="Garamond" w:eastAsia="Times New Roman" w:hAnsi="Garamond"/>
          <w:sz w:val="24"/>
          <w:szCs w:val="24"/>
          <w:lang w:eastAsia="pt-BR"/>
        </w:rPr>
      </w:pPr>
    </w:p>
    <w:p w:rsidR="00C807F6"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ED2E33" w:rsidRPr="002C7F50">
        <w:rPr>
          <w:rFonts w:ascii="Garamond" w:hAnsi="Garamond"/>
          <w:i/>
          <w:sz w:val="24"/>
          <w:szCs w:val="24"/>
        </w:rPr>
        <w:t xml:space="preserve"> </w:t>
      </w:r>
      <w:r w:rsidR="00C2622B" w:rsidRPr="002C7F50">
        <w:rPr>
          <w:rFonts w:ascii="Garamond" w:hAnsi="Garamond"/>
          <w:i/>
          <w:sz w:val="24"/>
          <w:szCs w:val="24"/>
        </w:rPr>
        <w:t xml:space="preserve">Sugestão Incorporada. A variável de Abertura comercial foi considerada endógena em virtude da relação prevista pela teoria econômica que indica que a renda doméstica determina as importações. Sua instrumentalização foi realizada no System-GMM a partir da utilização de </w:t>
      </w:r>
      <w:proofErr w:type="spellStart"/>
      <w:r w:rsidR="00C2622B" w:rsidRPr="002C7F50">
        <w:rPr>
          <w:rFonts w:ascii="Garamond" w:hAnsi="Garamond"/>
          <w:i/>
          <w:sz w:val="24"/>
          <w:szCs w:val="24"/>
        </w:rPr>
        <w:t>lags</w:t>
      </w:r>
      <w:proofErr w:type="spellEnd"/>
      <w:r w:rsidR="00C2622B" w:rsidRPr="002C7F50">
        <w:rPr>
          <w:rFonts w:ascii="Garamond" w:hAnsi="Garamond"/>
          <w:i/>
          <w:sz w:val="24"/>
          <w:szCs w:val="24"/>
        </w:rPr>
        <w:t xml:space="preserve"> dessa variável em primeira diferença para a equação em nível e de </w:t>
      </w:r>
      <w:proofErr w:type="spellStart"/>
      <w:r w:rsidR="00C2622B" w:rsidRPr="002C7F50">
        <w:rPr>
          <w:rFonts w:ascii="Garamond" w:hAnsi="Garamond"/>
          <w:i/>
          <w:sz w:val="24"/>
          <w:szCs w:val="24"/>
        </w:rPr>
        <w:t>lags</w:t>
      </w:r>
      <w:proofErr w:type="spellEnd"/>
      <w:r w:rsidR="00C2622B" w:rsidRPr="002C7F50">
        <w:rPr>
          <w:rFonts w:ascii="Garamond" w:hAnsi="Garamond"/>
          <w:i/>
          <w:sz w:val="24"/>
          <w:szCs w:val="24"/>
        </w:rPr>
        <w:t xml:space="preserve"> desse indicador em nível para a o modelo em primeira diferença.</w:t>
      </w:r>
    </w:p>
    <w:p w:rsidR="00C2622B" w:rsidRPr="002C7F50" w:rsidRDefault="00C2622B" w:rsidP="00310943">
      <w:pPr>
        <w:spacing w:after="0"/>
        <w:jc w:val="both"/>
        <w:rPr>
          <w:rFonts w:ascii="Garamond" w:hAnsi="Garamond"/>
          <w:i/>
          <w:sz w:val="24"/>
          <w:szCs w:val="24"/>
        </w:rPr>
      </w:pPr>
    </w:p>
    <w:p w:rsidR="00C2622B" w:rsidRPr="002C7F50" w:rsidRDefault="00C2622B" w:rsidP="00310943">
      <w:pPr>
        <w:spacing w:after="0"/>
        <w:jc w:val="both"/>
        <w:rPr>
          <w:rFonts w:ascii="Garamond" w:hAnsi="Garamond"/>
          <w:i/>
          <w:sz w:val="24"/>
          <w:szCs w:val="24"/>
        </w:rPr>
      </w:pPr>
      <w:r w:rsidRPr="002C7F50">
        <w:rPr>
          <w:rFonts w:ascii="Garamond" w:hAnsi="Garamond"/>
          <w:i/>
          <w:sz w:val="24"/>
          <w:szCs w:val="24"/>
        </w:rPr>
        <w:t xml:space="preserve">Portanto, na seção de </w:t>
      </w:r>
      <w:r w:rsidR="00D361B7" w:rsidRPr="002C7F50">
        <w:rPr>
          <w:rFonts w:ascii="Garamond" w:hAnsi="Garamond"/>
          <w:i/>
          <w:sz w:val="24"/>
          <w:szCs w:val="24"/>
        </w:rPr>
        <w:t>metodologia</w:t>
      </w:r>
      <w:r w:rsidRPr="002C7F50">
        <w:rPr>
          <w:rFonts w:ascii="Garamond" w:hAnsi="Garamond"/>
          <w:i/>
          <w:sz w:val="24"/>
          <w:szCs w:val="24"/>
        </w:rPr>
        <w:t>, foi inserida a seguinte sentença:</w:t>
      </w:r>
    </w:p>
    <w:p w:rsidR="004172BC" w:rsidRPr="002C7F50" w:rsidRDefault="004172BC" w:rsidP="00D361B7">
      <w:pPr>
        <w:tabs>
          <w:tab w:val="left" w:pos="0"/>
        </w:tabs>
        <w:spacing w:line="240" w:lineRule="auto"/>
        <w:jc w:val="both"/>
        <w:rPr>
          <w:rFonts w:ascii="Garamond" w:hAnsi="Garamond"/>
          <w:iCs/>
          <w:sz w:val="24"/>
          <w:szCs w:val="24"/>
          <w:highlight w:val="yellow"/>
        </w:rPr>
      </w:pPr>
    </w:p>
    <w:p w:rsidR="00D361B7" w:rsidRPr="002C7F50" w:rsidRDefault="00D361B7" w:rsidP="00D361B7">
      <w:pPr>
        <w:tabs>
          <w:tab w:val="left" w:pos="0"/>
        </w:tabs>
        <w:spacing w:line="240" w:lineRule="auto"/>
        <w:jc w:val="both"/>
        <w:rPr>
          <w:rFonts w:ascii="Garamond" w:eastAsia="Times New Roman" w:hAnsi="Garamond"/>
          <w:iCs/>
          <w:sz w:val="24"/>
          <w:szCs w:val="24"/>
        </w:rPr>
      </w:pPr>
      <w:r w:rsidRPr="002C7F50">
        <w:rPr>
          <w:rFonts w:ascii="Garamond" w:hAnsi="Garamond"/>
          <w:iCs/>
          <w:sz w:val="24"/>
          <w:szCs w:val="24"/>
          <w:highlight w:val="yellow"/>
        </w:rPr>
        <w:t xml:space="preserve">No presente estudo as variáveis </w:t>
      </w:r>
      <w:proofErr w:type="spellStart"/>
      <w:proofErr w:type="gramStart"/>
      <w:r w:rsidRPr="002C7F50">
        <w:rPr>
          <w:rFonts w:ascii="Garamond" w:hAnsi="Garamond"/>
          <w:i/>
          <w:iCs/>
          <w:sz w:val="24"/>
          <w:szCs w:val="24"/>
          <w:highlight w:val="yellow"/>
        </w:rPr>
        <w:t>PIBpc</w:t>
      </w:r>
      <w:proofErr w:type="spellEnd"/>
      <w:proofErr w:type="gramEnd"/>
      <w:r w:rsidRPr="002C7F50">
        <w:rPr>
          <w:rFonts w:ascii="Garamond" w:hAnsi="Garamond"/>
          <w:i/>
          <w:iCs/>
          <w:sz w:val="24"/>
          <w:szCs w:val="24"/>
          <w:highlight w:val="yellow"/>
        </w:rPr>
        <w:t xml:space="preserve"> </w:t>
      </w:r>
      <w:r w:rsidRPr="002C7F50">
        <w:rPr>
          <w:rFonts w:ascii="Garamond" w:hAnsi="Garamond"/>
          <w:iCs/>
          <w:sz w:val="24"/>
          <w:szCs w:val="24"/>
          <w:highlight w:val="yellow"/>
        </w:rPr>
        <w:t xml:space="preserve">defasada, abertura comercial e capital humano serão tratadas como endógenas. A abertura comercial foi incluída como endógena pela previsão da teoria econômica que indica que a renda doméstica determina importação. Assim, serão utilizados como instrumentos os </w:t>
      </w:r>
      <w:proofErr w:type="spellStart"/>
      <w:r w:rsidRPr="002C7F50">
        <w:rPr>
          <w:rFonts w:ascii="Garamond" w:hAnsi="Garamond"/>
          <w:i/>
          <w:iCs/>
          <w:sz w:val="24"/>
          <w:szCs w:val="24"/>
          <w:highlight w:val="yellow"/>
        </w:rPr>
        <w:t>lags</w:t>
      </w:r>
      <w:proofErr w:type="spellEnd"/>
      <w:r w:rsidRPr="002C7F50">
        <w:rPr>
          <w:rFonts w:ascii="Garamond" w:hAnsi="Garamond"/>
          <w:iCs/>
          <w:sz w:val="24"/>
          <w:szCs w:val="24"/>
          <w:highlight w:val="yellow"/>
        </w:rPr>
        <w:t xml:space="preserve"> dessas variáveis em nível na equação em primeira diferença e os </w:t>
      </w:r>
      <w:proofErr w:type="spellStart"/>
      <w:r w:rsidRPr="002C7F50">
        <w:rPr>
          <w:rFonts w:ascii="Garamond" w:hAnsi="Garamond"/>
          <w:i/>
          <w:iCs/>
          <w:sz w:val="24"/>
          <w:szCs w:val="24"/>
          <w:highlight w:val="yellow"/>
        </w:rPr>
        <w:t>lags</w:t>
      </w:r>
      <w:proofErr w:type="spellEnd"/>
      <w:r w:rsidRPr="002C7F50">
        <w:rPr>
          <w:rFonts w:ascii="Garamond" w:hAnsi="Garamond"/>
          <w:iCs/>
          <w:sz w:val="24"/>
          <w:szCs w:val="24"/>
          <w:highlight w:val="yellow"/>
        </w:rPr>
        <w:t xml:space="preserve"> desses indicadores em primeira diferença para a equação em nível. Após essa instrumentalização, </w:t>
      </w:r>
      <w:proofErr w:type="gramStart"/>
      <w:r w:rsidRPr="002C7F50">
        <w:rPr>
          <w:rFonts w:ascii="Garamond" w:hAnsi="Garamond"/>
          <w:iCs/>
          <w:sz w:val="24"/>
          <w:szCs w:val="24"/>
          <w:highlight w:val="yellow"/>
        </w:rPr>
        <w:t>observa-se</w:t>
      </w:r>
      <w:proofErr w:type="gramEnd"/>
      <w:r w:rsidRPr="002C7F50">
        <w:rPr>
          <w:rFonts w:ascii="Garamond" w:hAnsi="Garamond"/>
          <w:iCs/>
          <w:sz w:val="24"/>
          <w:szCs w:val="24"/>
          <w:highlight w:val="yellow"/>
        </w:rPr>
        <w:t xml:space="preserve"> os testes de validade e </w:t>
      </w:r>
      <w:proofErr w:type="spellStart"/>
      <w:r w:rsidRPr="002C7F50">
        <w:rPr>
          <w:rFonts w:ascii="Garamond" w:hAnsi="Garamond"/>
          <w:iCs/>
          <w:sz w:val="24"/>
          <w:szCs w:val="24"/>
          <w:highlight w:val="yellow"/>
        </w:rPr>
        <w:t>exogeneidade</w:t>
      </w:r>
      <w:proofErr w:type="spellEnd"/>
      <w:r w:rsidRPr="002C7F50">
        <w:rPr>
          <w:rFonts w:ascii="Garamond" w:hAnsi="Garamond"/>
          <w:iCs/>
          <w:sz w:val="24"/>
          <w:szCs w:val="24"/>
          <w:highlight w:val="yellow"/>
        </w:rPr>
        <w:t xml:space="preserve"> dos instrumentos empregados e se o coeficiente estimado da variável dependente defasada encontra-se entre os limites das estimações de </w:t>
      </w:r>
      <w:proofErr w:type="spellStart"/>
      <w:r w:rsidRPr="002C7F50">
        <w:rPr>
          <w:rFonts w:ascii="Garamond" w:hAnsi="Garamond"/>
          <w:i/>
          <w:iCs/>
          <w:sz w:val="24"/>
          <w:szCs w:val="24"/>
          <w:highlight w:val="yellow"/>
        </w:rPr>
        <w:t>Pooled</w:t>
      </w:r>
      <w:proofErr w:type="spellEnd"/>
      <w:r w:rsidRPr="002C7F50">
        <w:rPr>
          <w:rFonts w:ascii="Garamond" w:hAnsi="Garamond"/>
          <w:iCs/>
          <w:sz w:val="24"/>
          <w:szCs w:val="24"/>
          <w:highlight w:val="yellow"/>
        </w:rPr>
        <w:t xml:space="preserve"> (que o superestima) e </w:t>
      </w:r>
      <w:proofErr w:type="spellStart"/>
      <w:r w:rsidRPr="002C7F50">
        <w:rPr>
          <w:rFonts w:ascii="Garamond" w:hAnsi="Garamond"/>
          <w:i/>
          <w:iCs/>
          <w:sz w:val="24"/>
          <w:szCs w:val="24"/>
          <w:highlight w:val="yellow"/>
        </w:rPr>
        <w:t>Within</w:t>
      </w:r>
      <w:proofErr w:type="spellEnd"/>
      <w:r w:rsidRPr="002C7F50">
        <w:rPr>
          <w:rFonts w:ascii="Garamond" w:hAnsi="Garamond"/>
          <w:i/>
          <w:iCs/>
          <w:sz w:val="24"/>
          <w:szCs w:val="24"/>
          <w:highlight w:val="yellow"/>
        </w:rPr>
        <w:t xml:space="preserve"> </w:t>
      </w:r>
      <w:proofErr w:type="spellStart"/>
      <w:r w:rsidRPr="002C7F50">
        <w:rPr>
          <w:rFonts w:ascii="Garamond" w:hAnsi="Garamond"/>
          <w:i/>
          <w:iCs/>
          <w:sz w:val="24"/>
          <w:szCs w:val="24"/>
          <w:highlight w:val="yellow"/>
        </w:rPr>
        <w:t>Groups</w:t>
      </w:r>
      <w:proofErr w:type="spellEnd"/>
      <w:r w:rsidRPr="002C7F50">
        <w:rPr>
          <w:rFonts w:ascii="Garamond" w:hAnsi="Garamond"/>
          <w:i/>
          <w:iCs/>
          <w:sz w:val="24"/>
          <w:szCs w:val="24"/>
          <w:highlight w:val="yellow"/>
        </w:rPr>
        <w:t xml:space="preserve">, </w:t>
      </w:r>
      <w:r w:rsidRPr="002C7F50">
        <w:rPr>
          <w:rFonts w:ascii="Garamond" w:hAnsi="Garamond"/>
          <w:iCs/>
          <w:sz w:val="24"/>
          <w:szCs w:val="24"/>
          <w:highlight w:val="yellow"/>
        </w:rPr>
        <w:t>ou</w:t>
      </w:r>
      <w:r w:rsidRPr="002C7F50">
        <w:rPr>
          <w:rFonts w:ascii="Garamond" w:hAnsi="Garamond"/>
          <w:i/>
          <w:iCs/>
          <w:sz w:val="24"/>
          <w:szCs w:val="24"/>
          <w:highlight w:val="yellow"/>
        </w:rPr>
        <w:t xml:space="preserve"> </w:t>
      </w:r>
      <w:r w:rsidRPr="002C7F50">
        <w:rPr>
          <w:rFonts w:ascii="Garamond" w:hAnsi="Garamond"/>
          <w:iCs/>
          <w:sz w:val="24"/>
          <w:szCs w:val="24"/>
          <w:highlight w:val="yellow"/>
        </w:rPr>
        <w:t xml:space="preserve">efeitos fixos (que o subestima) como recomendam </w:t>
      </w:r>
      <w:proofErr w:type="spellStart"/>
      <w:r w:rsidRPr="002C7F50">
        <w:rPr>
          <w:rFonts w:ascii="Garamond" w:hAnsi="Garamond"/>
          <w:iCs/>
          <w:sz w:val="24"/>
          <w:szCs w:val="24"/>
          <w:highlight w:val="yellow"/>
        </w:rPr>
        <w:t>Arellano</w:t>
      </w:r>
      <w:proofErr w:type="spellEnd"/>
      <w:r w:rsidRPr="002C7F50">
        <w:rPr>
          <w:rFonts w:ascii="Garamond" w:hAnsi="Garamond"/>
          <w:iCs/>
          <w:sz w:val="24"/>
          <w:szCs w:val="24"/>
          <w:highlight w:val="yellow"/>
        </w:rPr>
        <w:t xml:space="preserve"> e </w:t>
      </w:r>
      <w:proofErr w:type="spellStart"/>
      <w:r w:rsidRPr="002C7F50">
        <w:rPr>
          <w:rFonts w:ascii="Garamond" w:hAnsi="Garamond"/>
          <w:iCs/>
          <w:sz w:val="24"/>
          <w:szCs w:val="24"/>
          <w:highlight w:val="yellow"/>
        </w:rPr>
        <w:t>Bover</w:t>
      </w:r>
      <w:proofErr w:type="spellEnd"/>
      <w:r w:rsidRPr="002C7F50">
        <w:rPr>
          <w:rFonts w:ascii="Garamond" w:hAnsi="Garamond"/>
          <w:iCs/>
          <w:sz w:val="24"/>
          <w:szCs w:val="24"/>
          <w:highlight w:val="yellow"/>
        </w:rPr>
        <w:t xml:space="preserve"> (1995) e </w:t>
      </w:r>
      <w:proofErr w:type="spellStart"/>
      <w:r w:rsidRPr="002C7F50">
        <w:rPr>
          <w:rFonts w:ascii="Garamond" w:hAnsi="Garamond"/>
          <w:iCs/>
          <w:sz w:val="24"/>
          <w:szCs w:val="24"/>
          <w:highlight w:val="yellow"/>
        </w:rPr>
        <w:t>Blundell</w:t>
      </w:r>
      <w:proofErr w:type="spellEnd"/>
      <w:r w:rsidRPr="002C7F50">
        <w:rPr>
          <w:rFonts w:ascii="Garamond" w:hAnsi="Garamond"/>
          <w:iCs/>
          <w:sz w:val="24"/>
          <w:szCs w:val="24"/>
          <w:highlight w:val="yellow"/>
        </w:rPr>
        <w:t xml:space="preserve"> e Bond (1998). </w:t>
      </w:r>
    </w:p>
    <w:p w:rsidR="00D361B7" w:rsidRPr="002C7F50" w:rsidRDefault="00D361B7" w:rsidP="00310943">
      <w:pPr>
        <w:spacing w:after="0"/>
        <w:jc w:val="both"/>
        <w:rPr>
          <w:rFonts w:ascii="Garamond" w:eastAsia="Times New Roman" w:hAnsi="Garamond"/>
          <w:sz w:val="24"/>
          <w:szCs w:val="24"/>
          <w:lang w:eastAsia="pt-BR"/>
        </w:rPr>
      </w:pPr>
    </w:p>
    <w:p w:rsidR="00310943" w:rsidRPr="002C7F50" w:rsidRDefault="00310943"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8</w:t>
      </w:r>
      <w:r w:rsidR="00BA03B7" w:rsidRPr="002C7F50">
        <w:rPr>
          <w:rFonts w:ascii="Garamond" w:eastAsia="Times New Roman" w:hAnsi="Garamond"/>
          <w:sz w:val="24"/>
          <w:szCs w:val="24"/>
          <w:lang w:eastAsia="pt-BR"/>
        </w:rPr>
        <w:t xml:space="preserve"> </w:t>
      </w:r>
      <w:r w:rsidRPr="002C7F50">
        <w:rPr>
          <w:rFonts w:ascii="Garamond" w:eastAsia="Times New Roman" w:hAnsi="Garamond"/>
          <w:sz w:val="24"/>
          <w:szCs w:val="24"/>
          <w:lang w:eastAsia="pt-BR"/>
        </w:rPr>
        <w:t xml:space="preserve">- Outro ponto importante é que não existe discussão sobre a possibilidade de capital humano ser endógeno, o que provavelmente é. Creio ser necessário um esforço para estabelecer uma estratégia de identificação para essa variável. Isso se torna mais importante ainda na medida em que as afirmações na seção de análise de resultados são sempre “fortes”, no sentido de que os coeficientes fornecem relações causais. Creio que deve haver cuidado com essas afirmações, não se esquecendo de considerar que o coeficiente representa uma relação “em média” e que só estabelece-se relação causal </w:t>
      </w:r>
      <w:proofErr w:type="gramStart"/>
      <w:r w:rsidRPr="002C7F50">
        <w:rPr>
          <w:rFonts w:ascii="Garamond" w:eastAsia="Times New Roman" w:hAnsi="Garamond"/>
          <w:sz w:val="24"/>
          <w:szCs w:val="24"/>
          <w:lang w:eastAsia="pt-BR"/>
        </w:rPr>
        <w:t>sob hipóteses</w:t>
      </w:r>
      <w:proofErr w:type="gramEnd"/>
      <w:r w:rsidRPr="002C7F50">
        <w:rPr>
          <w:rFonts w:ascii="Garamond" w:eastAsia="Times New Roman" w:hAnsi="Garamond"/>
          <w:sz w:val="24"/>
          <w:szCs w:val="24"/>
          <w:lang w:eastAsia="pt-BR"/>
        </w:rPr>
        <w:t xml:space="preserve"> consideradas.</w:t>
      </w:r>
    </w:p>
    <w:p w:rsidR="00ED2E33" w:rsidRPr="002C7F50" w:rsidRDefault="00ED2E33" w:rsidP="00310943">
      <w:pPr>
        <w:spacing w:after="0"/>
        <w:jc w:val="both"/>
        <w:rPr>
          <w:rFonts w:ascii="Garamond" w:eastAsia="Times New Roman" w:hAnsi="Garamond"/>
          <w:sz w:val="24"/>
          <w:szCs w:val="24"/>
          <w:lang w:eastAsia="pt-BR"/>
        </w:rPr>
      </w:pPr>
    </w:p>
    <w:p w:rsidR="00805E89" w:rsidRPr="002C7F50" w:rsidRDefault="00ED2E33" w:rsidP="00805E89">
      <w:pPr>
        <w:spacing w:after="0"/>
        <w:jc w:val="both"/>
        <w:rPr>
          <w:rFonts w:ascii="Garamond" w:hAnsi="Garamond"/>
          <w:i/>
          <w:sz w:val="24"/>
          <w:szCs w:val="24"/>
        </w:rPr>
      </w:pPr>
      <w:r w:rsidRPr="002C7F50">
        <w:rPr>
          <w:rFonts w:ascii="Garamond" w:hAnsi="Garamond"/>
          <w:i/>
          <w:sz w:val="24"/>
          <w:szCs w:val="24"/>
        </w:rPr>
        <w:t xml:space="preserve">Resposta: </w:t>
      </w:r>
      <w:r w:rsidR="00805E89" w:rsidRPr="002C7F50">
        <w:rPr>
          <w:rFonts w:ascii="Garamond" w:hAnsi="Garamond"/>
          <w:i/>
          <w:sz w:val="24"/>
          <w:szCs w:val="24"/>
        </w:rPr>
        <w:t xml:space="preserve">De fato, a discussão em torno do tratamento da </w:t>
      </w:r>
      <w:proofErr w:type="spellStart"/>
      <w:r w:rsidR="00805E89" w:rsidRPr="002C7F50">
        <w:rPr>
          <w:rFonts w:ascii="Garamond" w:hAnsi="Garamond"/>
          <w:i/>
          <w:sz w:val="24"/>
          <w:szCs w:val="24"/>
        </w:rPr>
        <w:t>endogeneidade</w:t>
      </w:r>
      <w:proofErr w:type="spellEnd"/>
      <w:r w:rsidR="00805E89" w:rsidRPr="002C7F50">
        <w:rPr>
          <w:rFonts w:ascii="Garamond" w:hAnsi="Garamond"/>
          <w:i/>
          <w:sz w:val="24"/>
          <w:szCs w:val="24"/>
        </w:rPr>
        <w:t xml:space="preserve"> do capital humano em modelos que explicam renda per capita (via função de produção) ou em equação de salários é bastante intensa. Para a estimação de equações de salários, a literatura e as técnicas econométricas apresentaram maiores avanços, como o método de Heckman em dois estágios, por exemplo. Entretanto, em estudos que estimam funções de produção agregadas a </w:t>
      </w:r>
      <w:proofErr w:type="spellStart"/>
      <w:proofErr w:type="gramStart"/>
      <w:r w:rsidR="00805E89" w:rsidRPr="002C7F50">
        <w:rPr>
          <w:rFonts w:ascii="Garamond" w:hAnsi="Garamond"/>
          <w:i/>
          <w:sz w:val="24"/>
          <w:szCs w:val="24"/>
        </w:rPr>
        <w:t>la</w:t>
      </w:r>
      <w:proofErr w:type="spellEnd"/>
      <w:proofErr w:type="gramEnd"/>
      <w:r w:rsidR="00805E89" w:rsidRPr="002C7F50">
        <w:rPr>
          <w:rFonts w:ascii="Garamond" w:hAnsi="Garamond"/>
          <w:i/>
          <w:sz w:val="24"/>
          <w:szCs w:val="24"/>
        </w:rPr>
        <w:t xml:space="preserve"> </w:t>
      </w:r>
      <w:proofErr w:type="spellStart"/>
      <w:r w:rsidR="00805E89" w:rsidRPr="002C7F50">
        <w:rPr>
          <w:rFonts w:ascii="Garamond" w:hAnsi="Garamond"/>
          <w:i/>
          <w:sz w:val="24"/>
          <w:szCs w:val="24"/>
        </w:rPr>
        <w:t>Mankiw</w:t>
      </w:r>
      <w:proofErr w:type="spellEnd"/>
      <w:r w:rsidR="00805E89" w:rsidRPr="002C7F50">
        <w:rPr>
          <w:rFonts w:ascii="Garamond" w:hAnsi="Garamond"/>
          <w:i/>
          <w:sz w:val="24"/>
          <w:szCs w:val="24"/>
        </w:rPr>
        <w:t xml:space="preserve">, </w:t>
      </w:r>
      <w:proofErr w:type="spellStart"/>
      <w:r w:rsidR="00805E89" w:rsidRPr="002C7F50">
        <w:rPr>
          <w:rFonts w:ascii="Garamond" w:hAnsi="Garamond"/>
          <w:i/>
          <w:sz w:val="24"/>
          <w:szCs w:val="24"/>
        </w:rPr>
        <w:t>Romer</w:t>
      </w:r>
      <w:proofErr w:type="spellEnd"/>
      <w:r w:rsidR="00805E89" w:rsidRPr="002C7F50">
        <w:rPr>
          <w:rFonts w:ascii="Garamond" w:hAnsi="Garamond"/>
          <w:i/>
          <w:sz w:val="24"/>
          <w:szCs w:val="24"/>
        </w:rPr>
        <w:t xml:space="preserve"> e Weill (1992</w:t>
      </w:r>
      <w:r w:rsidR="00805E89" w:rsidRPr="002C7F50">
        <w:rPr>
          <w:rStyle w:val="longtext"/>
          <w:rFonts w:ascii="Garamond" w:hAnsi="Garamond"/>
          <w:i/>
          <w:sz w:val="24"/>
          <w:szCs w:val="24"/>
          <w:lang w:val="pt-PT"/>
        </w:rPr>
        <w:t>),</w:t>
      </w:r>
      <w:r w:rsidR="00805E89" w:rsidRPr="002C7F50">
        <w:rPr>
          <w:rFonts w:ascii="Garamond" w:hAnsi="Garamond"/>
          <w:i/>
          <w:sz w:val="24"/>
          <w:szCs w:val="24"/>
        </w:rPr>
        <w:t xml:space="preserve"> como a maior parte dos trabalhos citados no artigo, apresentam maiores dificuldades em controlar efeitos de </w:t>
      </w:r>
      <w:proofErr w:type="spellStart"/>
      <w:r w:rsidR="00805E89" w:rsidRPr="002C7F50">
        <w:rPr>
          <w:rFonts w:ascii="Garamond" w:hAnsi="Garamond"/>
          <w:i/>
          <w:sz w:val="24"/>
          <w:szCs w:val="24"/>
        </w:rPr>
        <w:t>endogeneidade</w:t>
      </w:r>
      <w:proofErr w:type="spellEnd"/>
      <w:r w:rsidR="00805E89" w:rsidRPr="002C7F50">
        <w:rPr>
          <w:rFonts w:ascii="Garamond" w:hAnsi="Garamond"/>
          <w:i/>
          <w:sz w:val="24"/>
          <w:szCs w:val="24"/>
        </w:rPr>
        <w:t xml:space="preserve"> do capital humano e nem sequer a consideraram. </w:t>
      </w:r>
    </w:p>
    <w:p w:rsidR="00805E89" w:rsidRPr="002C7F50" w:rsidRDefault="00805E89" w:rsidP="00805E89">
      <w:pPr>
        <w:tabs>
          <w:tab w:val="left" w:pos="0"/>
        </w:tabs>
        <w:spacing w:after="0" w:line="240" w:lineRule="auto"/>
        <w:ind w:firstLine="851"/>
        <w:jc w:val="both"/>
        <w:rPr>
          <w:rFonts w:ascii="Garamond" w:hAnsi="Garamond"/>
          <w:i/>
          <w:sz w:val="24"/>
          <w:szCs w:val="24"/>
        </w:rPr>
      </w:pPr>
      <w:r w:rsidRPr="002C7F50">
        <w:rPr>
          <w:rFonts w:ascii="Garamond" w:hAnsi="Garamond"/>
          <w:i/>
          <w:sz w:val="24"/>
          <w:szCs w:val="24"/>
        </w:rPr>
        <w:t xml:space="preserve">Apesar disso, estudos recentes fazem uso do método System-GMM para painéis dinâmicos como Arruda (2013) e </w:t>
      </w:r>
      <w:proofErr w:type="spellStart"/>
      <w:r w:rsidRPr="002C7F50">
        <w:rPr>
          <w:rFonts w:ascii="Garamond" w:hAnsi="Garamond"/>
          <w:i/>
          <w:sz w:val="24"/>
          <w:szCs w:val="24"/>
        </w:rPr>
        <w:t>Daumal</w:t>
      </w:r>
      <w:proofErr w:type="spellEnd"/>
      <w:r w:rsidRPr="002C7F50">
        <w:rPr>
          <w:rFonts w:ascii="Garamond" w:hAnsi="Garamond"/>
          <w:i/>
          <w:sz w:val="24"/>
          <w:szCs w:val="24"/>
        </w:rPr>
        <w:t xml:space="preserve"> e </w:t>
      </w:r>
      <w:proofErr w:type="spellStart"/>
      <w:r w:rsidRPr="002C7F50">
        <w:rPr>
          <w:rFonts w:ascii="Garamond" w:hAnsi="Garamond"/>
          <w:i/>
          <w:sz w:val="24"/>
          <w:szCs w:val="24"/>
        </w:rPr>
        <w:t>Özyurt</w:t>
      </w:r>
      <w:proofErr w:type="spellEnd"/>
      <w:r w:rsidRPr="002C7F50">
        <w:rPr>
          <w:rFonts w:ascii="Garamond" w:hAnsi="Garamond"/>
          <w:i/>
          <w:sz w:val="24"/>
          <w:szCs w:val="24"/>
        </w:rPr>
        <w:t xml:space="preserve"> (2011) onde se pode tentar instrumentalizar a variável de capital humano por suas defasagens. A técnica basicamente se resume em compor um sistema que combine as equações em nível, (1), e em primeira diferença, (2), utilizando-se como instrumentos as variáveis em primeira diferença defasadas para a equação em nível e as variáveis em nível defasadas para a equação em primeira diferença, como sugerido por </w:t>
      </w:r>
      <w:proofErr w:type="spellStart"/>
      <w:r w:rsidRPr="002C7F50">
        <w:rPr>
          <w:rFonts w:ascii="Garamond" w:hAnsi="Garamond"/>
          <w:i/>
          <w:sz w:val="24"/>
          <w:szCs w:val="24"/>
        </w:rPr>
        <w:t>Arellano</w:t>
      </w:r>
      <w:proofErr w:type="spellEnd"/>
      <w:r w:rsidRPr="002C7F50">
        <w:rPr>
          <w:rFonts w:ascii="Garamond" w:hAnsi="Garamond"/>
          <w:i/>
          <w:sz w:val="24"/>
          <w:szCs w:val="24"/>
        </w:rPr>
        <w:t xml:space="preserve"> e </w:t>
      </w:r>
      <w:proofErr w:type="spellStart"/>
      <w:r w:rsidRPr="002C7F50">
        <w:rPr>
          <w:rFonts w:ascii="Garamond" w:hAnsi="Garamond"/>
          <w:i/>
          <w:sz w:val="24"/>
          <w:szCs w:val="24"/>
        </w:rPr>
        <w:t>Bover</w:t>
      </w:r>
      <w:proofErr w:type="spellEnd"/>
      <w:r w:rsidRPr="002C7F50">
        <w:rPr>
          <w:rFonts w:ascii="Garamond" w:hAnsi="Garamond"/>
          <w:i/>
          <w:sz w:val="24"/>
          <w:szCs w:val="24"/>
        </w:rPr>
        <w:t xml:space="preserve"> (1995) e </w:t>
      </w:r>
      <w:proofErr w:type="spellStart"/>
      <w:r w:rsidRPr="002C7F50">
        <w:rPr>
          <w:rFonts w:ascii="Garamond" w:hAnsi="Garamond"/>
          <w:i/>
          <w:sz w:val="24"/>
          <w:szCs w:val="24"/>
        </w:rPr>
        <w:t>Blundell</w:t>
      </w:r>
      <w:proofErr w:type="spellEnd"/>
      <w:r w:rsidRPr="002C7F50">
        <w:rPr>
          <w:rFonts w:ascii="Garamond" w:hAnsi="Garamond"/>
          <w:i/>
          <w:sz w:val="24"/>
          <w:szCs w:val="24"/>
        </w:rPr>
        <w:t xml:space="preserve"> e Bond (1998).</w:t>
      </w:r>
    </w:p>
    <w:p w:rsidR="00805E89" w:rsidRPr="002C7F50" w:rsidRDefault="00805E89" w:rsidP="00805E89">
      <w:pPr>
        <w:tabs>
          <w:tab w:val="left" w:pos="0"/>
        </w:tabs>
        <w:spacing w:after="0" w:line="240" w:lineRule="auto"/>
        <w:ind w:firstLine="851"/>
        <w:jc w:val="both"/>
        <w:rPr>
          <w:rFonts w:ascii="Garamond" w:hAnsi="Garamond"/>
          <w:i/>
          <w:sz w:val="24"/>
          <w:szCs w:val="24"/>
        </w:rPr>
      </w:pPr>
      <w:r w:rsidRPr="002C7F50">
        <w:rPr>
          <w:rFonts w:ascii="Garamond" w:hAnsi="Garamond"/>
          <w:i/>
          <w:sz w:val="24"/>
          <w:szCs w:val="24"/>
        </w:rPr>
        <w:t xml:space="preserve">O Presente estudo segue a linha desses últimos, ao propor o System-GMM como alternativa para tentar contornar esse problema e considerar a </w:t>
      </w:r>
      <w:proofErr w:type="spellStart"/>
      <w:r w:rsidRPr="002C7F50">
        <w:rPr>
          <w:rFonts w:ascii="Garamond" w:hAnsi="Garamond"/>
          <w:i/>
          <w:sz w:val="24"/>
          <w:szCs w:val="24"/>
        </w:rPr>
        <w:t>endogeneidade</w:t>
      </w:r>
      <w:proofErr w:type="spellEnd"/>
      <w:r w:rsidRPr="002C7F50">
        <w:rPr>
          <w:rFonts w:ascii="Garamond" w:hAnsi="Garamond"/>
          <w:i/>
          <w:sz w:val="24"/>
          <w:szCs w:val="24"/>
        </w:rPr>
        <w:t xml:space="preserve"> do capital humano. Primeiramente percebe-se que, nos modelos em questão, as variáveis apresentaram os sinais previstos pela teoria. E, além disso, o coeficiente estimado da variável dependente defasada, no System-GMM em ambos os modelos, está exatamente entre os limites das estimações via </w:t>
      </w:r>
      <w:proofErr w:type="spellStart"/>
      <w:r w:rsidRPr="002C7F50">
        <w:rPr>
          <w:rFonts w:ascii="Garamond" w:hAnsi="Garamond"/>
          <w:i/>
          <w:sz w:val="24"/>
          <w:szCs w:val="24"/>
        </w:rPr>
        <w:t>Pooled</w:t>
      </w:r>
      <w:proofErr w:type="spellEnd"/>
      <w:r w:rsidRPr="002C7F50">
        <w:rPr>
          <w:rFonts w:ascii="Garamond" w:hAnsi="Garamond"/>
          <w:i/>
          <w:sz w:val="24"/>
          <w:szCs w:val="24"/>
        </w:rPr>
        <w:t xml:space="preserve"> (MQO) e via método </w:t>
      </w:r>
      <w:proofErr w:type="spellStart"/>
      <w:r w:rsidRPr="002C7F50">
        <w:rPr>
          <w:rFonts w:ascii="Garamond" w:hAnsi="Garamond"/>
          <w:i/>
          <w:sz w:val="24"/>
          <w:szCs w:val="24"/>
        </w:rPr>
        <w:t>Within</w:t>
      </w:r>
      <w:proofErr w:type="spellEnd"/>
      <w:r w:rsidRPr="002C7F50">
        <w:rPr>
          <w:rFonts w:ascii="Garamond" w:hAnsi="Garamond"/>
          <w:i/>
          <w:sz w:val="24"/>
          <w:szCs w:val="24"/>
        </w:rPr>
        <w:t xml:space="preserve"> </w:t>
      </w:r>
      <w:proofErr w:type="spellStart"/>
      <w:r w:rsidRPr="002C7F50">
        <w:rPr>
          <w:rFonts w:ascii="Garamond" w:hAnsi="Garamond"/>
          <w:i/>
          <w:sz w:val="24"/>
          <w:szCs w:val="24"/>
        </w:rPr>
        <w:t>Groups</w:t>
      </w:r>
      <w:proofErr w:type="spellEnd"/>
      <w:r w:rsidRPr="002C7F50">
        <w:rPr>
          <w:rFonts w:ascii="Garamond" w:hAnsi="Garamond"/>
          <w:i/>
          <w:sz w:val="24"/>
          <w:szCs w:val="24"/>
        </w:rPr>
        <w:t xml:space="preserve"> (Efeitos Fixos) (a tabela dos resultados foi alterada </w:t>
      </w:r>
      <w:r w:rsidRPr="002C7F50">
        <w:rPr>
          <w:rFonts w:ascii="Garamond" w:hAnsi="Garamond"/>
          <w:i/>
          <w:sz w:val="24"/>
          <w:szCs w:val="24"/>
        </w:rPr>
        <w:lastRenderedPageBreak/>
        <w:t xml:space="preserve">para incluir também os resultados do modelo </w:t>
      </w:r>
      <w:proofErr w:type="spellStart"/>
      <w:r w:rsidRPr="002C7F50">
        <w:rPr>
          <w:rFonts w:ascii="Garamond" w:hAnsi="Garamond"/>
          <w:i/>
          <w:sz w:val="24"/>
          <w:szCs w:val="24"/>
        </w:rPr>
        <w:t>Pooled</w:t>
      </w:r>
      <w:proofErr w:type="spellEnd"/>
      <w:r w:rsidRPr="002C7F50">
        <w:rPr>
          <w:rFonts w:ascii="Garamond" w:hAnsi="Garamond"/>
          <w:i/>
          <w:sz w:val="24"/>
          <w:szCs w:val="24"/>
        </w:rPr>
        <w:t xml:space="preserve"> e de Efeitos Fixos); e sabe-se que o primeiro superestima e o segundo subestima o referido coeficiente; os testes de validade dos instrumentos de Hansen e </w:t>
      </w:r>
      <w:proofErr w:type="spellStart"/>
      <w:r w:rsidRPr="002C7F50">
        <w:rPr>
          <w:rFonts w:ascii="Garamond" w:hAnsi="Garamond"/>
          <w:i/>
          <w:sz w:val="24"/>
          <w:szCs w:val="24"/>
        </w:rPr>
        <w:t>Sargan</w:t>
      </w:r>
      <w:proofErr w:type="spellEnd"/>
      <w:r w:rsidRPr="002C7F50">
        <w:rPr>
          <w:rFonts w:ascii="Garamond" w:hAnsi="Garamond"/>
          <w:i/>
          <w:sz w:val="24"/>
          <w:szCs w:val="24"/>
        </w:rPr>
        <w:t xml:space="preserve"> não rejeitam a hipótese de que os instrumentos são válidos. E, por fim, o teste </w:t>
      </w:r>
      <w:proofErr w:type="spellStart"/>
      <w:r w:rsidRPr="002C7F50">
        <w:rPr>
          <w:rFonts w:ascii="Garamond" w:hAnsi="Garamond"/>
          <w:i/>
          <w:sz w:val="24"/>
          <w:szCs w:val="24"/>
        </w:rPr>
        <w:t>Difference</w:t>
      </w:r>
      <w:proofErr w:type="spellEnd"/>
      <w:r w:rsidRPr="002C7F50">
        <w:rPr>
          <w:rFonts w:ascii="Garamond" w:hAnsi="Garamond"/>
          <w:i/>
          <w:sz w:val="24"/>
          <w:szCs w:val="24"/>
        </w:rPr>
        <w:t xml:space="preserve">-Hansen não rejeita a hipótese de </w:t>
      </w:r>
      <w:proofErr w:type="spellStart"/>
      <w:r w:rsidRPr="002C7F50">
        <w:rPr>
          <w:rFonts w:ascii="Garamond" w:hAnsi="Garamond"/>
          <w:i/>
          <w:sz w:val="24"/>
          <w:szCs w:val="24"/>
        </w:rPr>
        <w:t>exogeneidade</w:t>
      </w:r>
      <w:proofErr w:type="spellEnd"/>
      <w:r w:rsidRPr="002C7F50">
        <w:rPr>
          <w:rFonts w:ascii="Garamond" w:hAnsi="Garamond"/>
          <w:i/>
          <w:sz w:val="24"/>
          <w:szCs w:val="24"/>
        </w:rPr>
        <w:t xml:space="preserve"> dos instrumentos. Portanto, acredita-se que boa parte dos efeitos da </w:t>
      </w:r>
      <w:proofErr w:type="spellStart"/>
      <w:r w:rsidRPr="002C7F50">
        <w:rPr>
          <w:rFonts w:ascii="Garamond" w:hAnsi="Garamond"/>
          <w:i/>
          <w:sz w:val="24"/>
          <w:szCs w:val="24"/>
        </w:rPr>
        <w:t>endogeneidade</w:t>
      </w:r>
      <w:proofErr w:type="spellEnd"/>
      <w:r w:rsidRPr="002C7F50">
        <w:rPr>
          <w:rFonts w:ascii="Garamond" w:hAnsi="Garamond"/>
          <w:i/>
          <w:sz w:val="24"/>
          <w:szCs w:val="24"/>
        </w:rPr>
        <w:t xml:space="preserve"> no modelo foram </w:t>
      </w:r>
      <w:proofErr w:type="gramStart"/>
      <w:r w:rsidRPr="002C7F50">
        <w:rPr>
          <w:rFonts w:ascii="Garamond" w:hAnsi="Garamond"/>
          <w:i/>
          <w:sz w:val="24"/>
          <w:szCs w:val="24"/>
        </w:rPr>
        <w:t>expurgados</w:t>
      </w:r>
      <w:proofErr w:type="gramEnd"/>
      <w:r w:rsidRPr="002C7F50">
        <w:rPr>
          <w:rFonts w:ascii="Garamond" w:hAnsi="Garamond"/>
          <w:i/>
          <w:sz w:val="24"/>
          <w:szCs w:val="24"/>
        </w:rPr>
        <w:t xml:space="preserve">, todavia, ainda se deve empregar cautela, uma vez que não há um consenso na literatura sobre qual a melhor forma de controlar possíveis efeitos de </w:t>
      </w:r>
      <w:proofErr w:type="spellStart"/>
      <w:r w:rsidRPr="002C7F50">
        <w:rPr>
          <w:rFonts w:ascii="Garamond" w:hAnsi="Garamond"/>
          <w:i/>
          <w:sz w:val="24"/>
          <w:szCs w:val="24"/>
        </w:rPr>
        <w:t>endogeneidade</w:t>
      </w:r>
      <w:proofErr w:type="spellEnd"/>
      <w:r w:rsidRPr="002C7F50">
        <w:rPr>
          <w:rFonts w:ascii="Garamond" w:hAnsi="Garamond"/>
          <w:i/>
          <w:sz w:val="24"/>
          <w:szCs w:val="24"/>
        </w:rPr>
        <w:t xml:space="preserve"> em modelos empíricos de função de produção agregada com capital humano.</w:t>
      </w:r>
    </w:p>
    <w:p w:rsidR="00805E89" w:rsidRPr="002C7F50" w:rsidRDefault="00805E89" w:rsidP="00805E89">
      <w:pPr>
        <w:tabs>
          <w:tab w:val="left" w:pos="0"/>
        </w:tabs>
        <w:spacing w:after="0" w:line="240" w:lineRule="auto"/>
        <w:ind w:firstLine="851"/>
        <w:jc w:val="both"/>
        <w:rPr>
          <w:rFonts w:ascii="Garamond" w:hAnsi="Garamond"/>
          <w:i/>
          <w:sz w:val="24"/>
          <w:szCs w:val="24"/>
        </w:rPr>
      </w:pPr>
      <w:r w:rsidRPr="002C7F50">
        <w:rPr>
          <w:rFonts w:ascii="Garamond" w:hAnsi="Garamond"/>
          <w:i/>
          <w:sz w:val="24"/>
          <w:szCs w:val="24"/>
        </w:rPr>
        <w:t xml:space="preserve">Portanto, na seção de resultados </w:t>
      </w:r>
      <w:proofErr w:type="gramStart"/>
      <w:r w:rsidRPr="002C7F50">
        <w:rPr>
          <w:rFonts w:ascii="Garamond" w:hAnsi="Garamond"/>
          <w:i/>
          <w:sz w:val="24"/>
          <w:szCs w:val="24"/>
        </w:rPr>
        <w:t>foi</w:t>
      </w:r>
      <w:proofErr w:type="gramEnd"/>
      <w:r w:rsidRPr="002C7F50">
        <w:rPr>
          <w:rFonts w:ascii="Garamond" w:hAnsi="Garamond"/>
          <w:i/>
          <w:sz w:val="24"/>
          <w:szCs w:val="24"/>
        </w:rPr>
        <w:t xml:space="preserve"> incluída os dois parágrafos seguintes:</w:t>
      </w:r>
    </w:p>
    <w:p w:rsidR="00BA7C9C" w:rsidRPr="002C7F50" w:rsidRDefault="00BA7C9C" w:rsidP="00BA7C9C">
      <w:pPr>
        <w:tabs>
          <w:tab w:val="left" w:pos="0"/>
        </w:tabs>
        <w:spacing w:after="0" w:line="240" w:lineRule="auto"/>
        <w:ind w:firstLine="851"/>
        <w:jc w:val="both"/>
        <w:rPr>
          <w:rFonts w:ascii="Garamond" w:hAnsi="Garamond"/>
          <w:i/>
          <w:sz w:val="24"/>
          <w:szCs w:val="24"/>
        </w:rPr>
      </w:pPr>
    </w:p>
    <w:p w:rsidR="00BA7C9C" w:rsidRPr="002C7F50" w:rsidRDefault="00BA7C9C" w:rsidP="00BA7C9C">
      <w:pPr>
        <w:tabs>
          <w:tab w:val="left" w:pos="0"/>
        </w:tabs>
        <w:spacing w:after="0" w:line="240" w:lineRule="auto"/>
        <w:ind w:firstLine="851"/>
        <w:jc w:val="both"/>
        <w:rPr>
          <w:rFonts w:ascii="Garamond" w:hAnsi="Garamond"/>
          <w:sz w:val="24"/>
          <w:szCs w:val="24"/>
          <w:highlight w:val="yellow"/>
        </w:rPr>
      </w:pPr>
      <w:r w:rsidRPr="002C7F50">
        <w:rPr>
          <w:rFonts w:ascii="Garamond" w:hAnsi="Garamond"/>
          <w:sz w:val="24"/>
          <w:szCs w:val="24"/>
          <w:highlight w:val="yellow"/>
        </w:rPr>
        <w:t xml:space="preserve">Os efeitos da abertura comercial e do capital humano sobre o crescimento econômico dos municípios cearenses são investigados a partir da estimação de seis regressões, as três primeiras levam em conta o capital humano com ensino fundamental, enquanto que as últimas consideram a população com ensino médio. Vale ressaltar que, em virtude viés da estimação de </w:t>
      </w:r>
      <w:proofErr w:type="spellStart"/>
      <w:r w:rsidRPr="002C7F50">
        <w:rPr>
          <w:rFonts w:ascii="Garamond" w:hAnsi="Garamond"/>
          <w:sz w:val="24"/>
          <w:szCs w:val="24"/>
          <w:highlight w:val="yellow"/>
        </w:rPr>
        <w:t>pooled</w:t>
      </w:r>
      <w:proofErr w:type="spellEnd"/>
      <w:r w:rsidRPr="002C7F50">
        <w:rPr>
          <w:rFonts w:ascii="Garamond" w:hAnsi="Garamond"/>
          <w:sz w:val="24"/>
          <w:szCs w:val="24"/>
          <w:highlight w:val="yellow"/>
        </w:rPr>
        <w:t xml:space="preserve"> e de efeitos fixos, esta seção discorrerá apenas sobre a análise das estimativas pelo método System-GMM.</w:t>
      </w:r>
    </w:p>
    <w:p w:rsidR="00BA7C9C" w:rsidRPr="002C7F50" w:rsidRDefault="00BA7C9C" w:rsidP="00BA7C9C">
      <w:pPr>
        <w:tabs>
          <w:tab w:val="left" w:pos="0"/>
        </w:tabs>
        <w:spacing w:after="0" w:line="240" w:lineRule="auto"/>
        <w:jc w:val="both"/>
        <w:rPr>
          <w:rFonts w:ascii="Garamond" w:hAnsi="Garamond"/>
          <w:sz w:val="24"/>
          <w:szCs w:val="24"/>
          <w:highlight w:val="yellow"/>
        </w:rPr>
      </w:pPr>
      <w:r w:rsidRPr="002C7F50">
        <w:rPr>
          <w:rFonts w:ascii="Garamond" w:hAnsi="Garamond"/>
          <w:sz w:val="24"/>
          <w:szCs w:val="24"/>
          <w:highlight w:val="yellow"/>
        </w:rPr>
        <w:tab/>
        <w:t xml:space="preserve">Primeiramente, a análise se atém aos testes de especificação e, em seguida, discutem-se os coeficientes. Os resultados são reportados na Tabela 4. O teste de </w:t>
      </w:r>
      <w:proofErr w:type="spellStart"/>
      <w:r w:rsidRPr="002C7F50">
        <w:rPr>
          <w:rFonts w:ascii="Garamond" w:hAnsi="Garamond"/>
          <w:sz w:val="24"/>
          <w:szCs w:val="24"/>
          <w:highlight w:val="yellow"/>
        </w:rPr>
        <w:t>Arellano</w:t>
      </w:r>
      <w:proofErr w:type="spellEnd"/>
      <w:r w:rsidRPr="002C7F50">
        <w:rPr>
          <w:rFonts w:ascii="Garamond" w:hAnsi="Garamond"/>
          <w:sz w:val="24"/>
          <w:szCs w:val="24"/>
          <w:highlight w:val="yellow"/>
        </w:rPr>
        <w:t xml:space="preserve">-Bond não rejeita a hipótese nula de ausência de </w:t>
      </w:r>
      <w:proofErr w:type="spellStart"/>
      <w:r w:rsidRPr="002C7F50">
        <w:rPr>
          <w:rFonts w:ascii="Garamond" w:hAnsi="Garamond"/>
          <w:sz w:val="24"/>
          <w:szCs w:val="24"/>
          <w:highlight w:val="yellow"/>
        </w:rPr>
        <w:t>autocorrelação</w:t>
      </w:r>
      <w:proofErr w:type="spellEnd"/>
      <w:r w:rsidRPr="002C7F50">
        <w:rPr>
          <w:rFonts w:ascii="Garamond" w:hAnsi="Garamond"/>
          <w:sz w:val="24"/>
          <w:szCs w:val="24"/>
          <w:highlight w:val="yellow"/>
        </w:rPr>
        <w:t xml:space="preserve"> de segunda ordem, mas rejeita a </w:t>
      </w:r>
      <w:proofErr w:type="spellStart"/>
      <w:r w:rsidRPr="002C7F50">
        <w:rPr>
          <w:rFonts w:ascii="Garamond" w:hAnsi="Garamond"/>
          <w:sz w:val="24"/>
          <w:szCs w:val="24"/>
          <w:highlight w:val="yellow"/>
        </w:rPr>
        <w:t>autocorrelação</w:t>
      </w:r>
      <w:proofErr w:type="spellEnd"/>
      <w:r w:rsidRPr="002C7F50">
        <w:rPr>
          <w:rFonts w:ascii="Garamond" w:hAnsi="Garamond"/>
          <w:sz w:val="24"/>
          <w:szCs w:val="24"/>
          <w:highlight w:val="yellow"/>
        </w:rPr>
        <w:t xml:space="preserve"> de primeira ordem. Já para a validade dos instrumentos, os testes de Hansen e </w:t>
      </w:r>
      <w:proofErr w:type="spellStart"/>
      <w:r w:rsidRPr="002C7F50">
        <w:rPr>
          <w:rFonts w:ascii="Garamond" w:hAnsi="Garamond"/>
          <w:sz w:val="24"/>
          <w:szCs w:val="24"/>
          <w:highlight w:val="yellow"/>
        </w:rPr>
        <w:t>Sargan</w:t>
      </w:r>
      <w:proofErr w:type="spellEnd"/>
      <w:r w:rsidRPr="002C7F50">
        <w:rPr>
          <w:rFonts w:ascii="Garamond" w:hAnsi="Garamond"/>
          <w:sz w:val="24"/>
          <w:szCs w:val="24"/>
          <w:highlight w:val="yellow"/>
        </w:rPr>
        <w:t xml:space="preserve">, não rejeitam a hipótese de que os instrumentos são válidos. E, por fim, o teste </w:t>
      </w:r>
      <w:proofErr w:type="spellStart"/>
      <w:r w:rsidRPr="002C7F50">
        <w:rPr>
          <w:rFonts w:ascii="Garamond" w:hAnsi="Garamond"/>
          <w:i/>
          <w:iCs/>
          <w:sz w:val="24"/>
          <w:szCs w:val="24"/>
          <w:highlight w:val="yellow"/>
        </w:rPr>
        <w:t>Difference</w:t>
      </w:r>
      <w:proofErr w:type="spellEnd"/>
      <w:r w:rsidRPr="002C7F50">
        <w:rPr>
          <w:rFonts w:ascii="Garamond" w:hAnsi="Garamond"/>
          <w:i/>
          <w:iCs/>
          <w:sz w:val="24"/>
          <w:szCs w:val="24"/>
          <w:highlight w:val="yellow"/>
        </w:rPr>
        <w:t xml:space="preserve">-Hansen </w:t>
      </w:r>
      <w:r w:rsidRPr="002C7F50">
        <w:rPr>
          <w:rFonts w:ascii="Garamond" w:hAnsi="Garamond"/>
          <w:sz w:val="24"/>
          <w:szCs w:val="24"/>
          <w:highlight w:val="yellow"/>
        </w:rPr>
        <w:t xml:space="preserve">não rejeita a hipótese de </w:t>
      </w:r>
      <w:proofErr w:type="spellStart"/>
      <w:r w:rsidRPr="002C7F50">
        <w:rPr>
          <w:rFonts w:ascii="Garamond" w:hAnsi="Garamond"/>
          <w:sz w:val="24"/>
          <w:szCs w:val="24"/>
          <w:highlight w:val="yellow"/>
        </w:rPr>
        <w:t>exogeneidade</w:t>
      </w:r>
      <w:proofErr w:type="spellEnd"/>
      <w:r w:rsidRPr="002C7F50">
        <w:rPr>
          <w:rFonts w:ascii="Garamond" w:hAnsi="Garamond"/>
          <w:sz w:val="24"/>
          <w:szCs w:val="24"/>
          <w:highlight w:val="yellow"/>
        </w:rPr>
        <w:t xml:space="preserve"> dos instrumentos. Consequentemente, pode-se inferir que a estimação se mostrou eficiente em ambos os modelos.</w:t>
      </w:r>
    </w:p>
    <w:p w:rsidR="00805E89" w:rsidRPr="002C7F50" w:rsidRDefault="00BA7C9C" w:rsidP="00BA7C9C">
      <w:pPr>
        <w:tabs>
          <w:tab w:val="left" w:pos="0"/>
        </w:tabs>
        <w:spacing w:after="0" w:line="240" w:lineRule="auto"/>
        <w:jc w:val="both"/>
        <w:rPr>
          <w:rFonts w:ascii="Garamond" w:hAnsi="Garamond"/>
          <w:sz w:val="24"/>
          <w:szCs w:val="24"/>
        </w:rPr>
      </w:pPr>
      <w:r w:rsidRPr="002C7F50">
        <w:rPr>
          <w:rFonts w:ascii="Garamond" w:hAnsi="Garamond"/>
          <w:sz w:val="24"/>
          <w:szCs w:val="24"/>
          <w:highlight w:val="yellow"/>
        </w:rPr>
        <w:tab/>
      </w:r>
      <w:r w:rsidR="00805E89" w:rsidRPr="002C7F50">
        <w:rPr>
          <w:rFonts w:ascii="Garamond" w:hAnsi="Garamond"/>
          <w:sz w:val="24"/>
          <w:szCs w:val="24"/>
          <w:highlight w:val="yellow"/>
        </w:rPr>
        <w:t xml:space="preserve">Vale destacar que, apesar da ampla discussão sobre os efeitos da </w:t>
      </w:r>
      <w:proofErr w:type="spellStart"/>
      <w:r w:rsidR="00805E89" w:rsidRPr="002C7F50">
        <w:rPr>
          <w:rFonts w:ascii="Garamond" w:hAnsi="Garamond"/>
          <w:sz w:val="24"/>
          <w:szCs w:val="24"/>
          <w:highlight w:val="yellow"/>
        </w:rPr>
        <w:t>endogeneidade</w:t>
      </w:r>
      <w:proofErr w:type="spellEnd"/>
      <w:r w:rsidR="00805E89" w:rsidRPr="002C7F50">
        <w:rPr>
          <w:rFonts w:ascii="Garamond" w:hAnsi="Garamond"/>
          <w:sz w:val="24"/>
          <w:szCs w:val="24"/>
          <w:highlight w:val="yellow"/>
        </w:rPr>
        <w:t xml:space="preserve"> do capital humano em modelos empíricos a </w:t>
      </w:r>
      <w:proofErr w:type="spellStart"/>
      <w:proofErr w:type="gramStart"/>
      <w:r w:rsidR="00805E89" w:rsidRPr="002C7F50">
        <w:rPr>
          <w:rFonts w:ascii="Garamond" w:hAnsi="Garamond"/>
          <w:sz w:val="24"/>
          <w:szCs w:val="24"/>
          <w:highlight w:val="yellow"/>
        </w:rPr>
        <w:t>la</w:t>
      </w:r>
      <w:proofErr w:type="spellEnd"/>
      <w:proofErr w:type="gramEnd"/>
      <w:r w:rsidR="00805E89" w:rsidRPr="002C7F50">
        <w:rPr>
          <w:rFonts w:ascii="Garamond" w:hAnsi="Garamond"/>
          <w:sz w:val="24"/>
          <w:szCs w:val="24"/>
          <w:highlight w:val="yellow"/>
        </w:rPr>
        <w:t xml:space="preserve"> </w:t>
      </w:r>
      <w:proofErr w:type="spellStart"/>
      <w:r w:rsidR="00805E89" w:rsidRPr="002C7F50">
        <w:rPr>
          <w:rFonts w:ascii="Garamond" w:hAnsi="Garamond"/>
          <w:sz w:val="24"/>
          <w:szCs w:val="24"/>
          <w:highlight w:val="yellow"/>
        </w:rPr>
        <w:t>Mankiw</w:t>
      </w:r>
      <w:proofErr w:type="spellEnd"/>
      <w:r w:rsidR="00805E89" w:rsidRPr="002C7F50">
        <w:rPr>
          <w:rFonts w:ascii="Garamond" w:hAnsi="Garamond"/>
          <w:sz w:val="24"/>
          <w:szCs w:val="24"/>
          <w:highlight w:val="yellow"/>
        </w:rPr>
        <w:t xml:space="preserve">, </w:t>
      </w:r>
      <w:proofErr w:type="spellStart"/>
      <w:r w:rsidR="00805E89" w:rsidRPr="002C7F50">
        <w:rPr>
          <w:rFonts w:ascii="Garamond" w:hAnsi="Garamond"/>
          <w:sz w:val="24"/>
          <w:szCs w:val="24"/>
          <w:highlight w:val="yellow"/>
        </w:rPr>
        <w:t>Romer</w:t>
      </w:r>
      <w:proofErr w:type="spellEnd"/>
      <w:r w:rsidR="00805E89" w:rsidRPr="002C7F50">
        <w:rPr>
          <w:rFonts w:ascii="Garamond" w:hAnsi="Garamond"/>
          <w:sz w:val="24"/>
          <w:szCs w:val="24"/>
          <w:highlight w:val="yellow"/>
        </w:rPr>
        <w:t xml:space="preserve"> e Weill (1992), ainda não há uma técnica indiscutível e consensual para controlar tais efeitos. Um dos recursos técnicos mais recentes é o método </w:t>
      </w:r>
      <w:r w:rsidR="00805E89" w:rsidRPr="002C7F50">
        <w:rPr>
          <w:rFonts w:ascii="Garamond" w:hAnsi="Garamond"/>
          <w:i/>
          <w:sz w:val="24"/>
          <w:szCs w:val="24"/>
          <w:highlight w:val="yellow"/>
        </w:rPr>
        <w:t xml:space="preserve">System-GMM, </w:t>
      </w:r>
      <w:r w:rsidR="00805E89" w:rsidRPr="002C7F50">
        <w:rPr>
          <w:rFonts w:ascii="Garamond" w:hAnsi="Garamond"/>
          <w:sz w:val="24"/>
          <w:szCs w:val="24"/>
          <w:highlight w:val="yellow"/>
        </w:rPr>
        <w:t xml:space="preserve">proposto por </w:t>
      </w:r>
      <w:proofErr w:type="spellStart"/>
      <w:r w:rsidR="00805E89" w:rsidRPr="002C7F50">
        <w:rPr>
          <w:rFonts w:ascii="Garamond" w:hAnsi="Garamond"/>
          <w:sz w:val="24"/>
          <w:szCs w:val="24"/>
          <w:highlight w:val="yellow"/>
        </w:rPr>
        <w:t>Arellano</w:t>
      </w:r>
      <w:proofErr w:type="spellEnd"/>
      <w:r w:rsidR="00805E89" w:rsidRPr="002C7F50">
        <w:rPr>
          <w:rFonts w:ascii="Garamond" w:hAnsi="Garamond"/>
          <w:sz w:val="24"/>
          <w:szCs w:val="24"/>
          <w:highlight w:val="yellow"/>
        </w:rPr>
        <w:t xml:space="preserve"> e </w:t>
      </w:r>
      <w:proofErr w:type="spellStart"/>
      <w:r w:rsidR="00805E89" w:rsidRPr="002C7F50">
        <w:rPr>
          <w:rFonts w:ascii="Garamond" w:hAnsi="Garamond"/>
          <w:sz w:val="24"/>
          <w:szCs w:val="24"/>
          <w:highlight w:val="yellow"/>
        </w:rPr>
        <w:t>Bover</w:t>
      </w:r>
      <w:proofErr w:type="spellEnd"/>
      <w:r w:rsidR="00805E89" w:rsidRPr="002C7F50">
        <w:rPr>
          <w:rFonts w:ascii="Garamond" w:hAnsi="Garamond"/>
          <w:sz w:val="24"/>
          <w:szCs w:val="24"/>
          <w:highlight w:val="yellow"/>
        </w:rPr>
        <w:t xml:space="preserve"> (1995) e </w:t>
      </w:r>
      <w:proofErr w:type="spellStart"/>
      <w:r w:rsidR="00805E89" w:rsidRPr="002C7F50">
        <w:rPr>
          <w:rFonts w:ascii="Garamond" w:hAnsi="Garamond"/>
          <w:sz w:val="24"/>
          <w:szCs w:val="24"/>
          <w:highlight w:val="yellow"/>
        </w:rPr>
        <w:t>Blundell</w:t>
      </w:r>
      <w:proofErr w:type="spellEnd"/>
      <w:r w:rsidR="00805E89" w:rsidRPr="002C7F50">
        <w:rPr>
          <w:rFonts w:ascii="Garamond" w:hAnsi="Garamond"/>
          <w:sz w:val="24"/>
          <w:szCs w:val="24"/>
          <w:highlight w:val="yellow"/>
        </w:rPr>
        <w:t xml:space="preserve"> e Bond (1998) e empregados em Arruda (2013) e </w:t>
      </w:r>
      <w:proofErr w:type="spellStart"/>
      <w:r w:rsidR="00805E89" w:rsidRPr="002C7F50">
        <w:rPr>
          <w:rFonts w:ascii="Garamond" w:hAnsi="Garamond"/>
          <w:sz w:val="24"/>
          <w:szCs w:val="24"/>
          <w:highlight w:val="yellow"/>
        </w:rPr>
        <w:t>Daumal</w:t>
      </w:r>
      <w:proofErr w:type="spellEnd"/>
      <w:r w:rsidR="00805E89" w:rsidRPr="002C7F50">
        <w:rPr>
          <w:rFonts w:ascii="Garamond" w:hAnsi="Garamond"/>
          <w:sz w:val="24"/>
          <w:szCs w:val="24"/>
          <w:highlight w:val="yellow"/>
        </w:rPr>
        <w:t xml:space="preserve"> e </w:t>
      </w:r>
      <w:proofErr w:type="spellStart"/>
      <w:r w:rsidR="00805E89" w:rsidRPr="002C7F50">
        <w:rPr>
          <w:rFonts w:ascii="Garamond" w:hAnsi="Garamond"/>
          <w:sz w:val="24"/>
          <w:szCs w:val="24"/>
          <w:highlight w:val="yellow"/>
        </w:rPr>
        <w:t>Özyurt</w:t>
      </w:r>
      <w:proofErr w:type="spellEnd"/>
      <w:r w:rsidR="00805E89" w:rsidRPr="002C7F50">
        <w:rPr>
          <w:rFonts w:ascii="Garamond" w:hAnsi="Garamond"/>
          <w:sz w:val="24"/>
          <w:szCs w:val="24"/>
          <w:highlight w:val="yellow"/>
        </w:rPr>
        <w:t xml:space="preserve"> (2011), que consiste na composição de um sistema composto pela equação dinâmica em nível e sua versão em primeira diferença com a utilização de </w:t>
      </w:r>
      <w:proofErr w:type="spellStart"/>
      <w:r w:rsidR="00805E89" w:rsidRPr="002C7F50">
        <w:rPr>
          <w:rFonts w:ascii="Garamond" w:hAnsi="Garamond"/>
          <w:i/>
          <w:sz w:val="24"/>
          <w:szCs w:val="24"/>
          <w:highlight w:val="yellow"/>
        </w:rPr>
        <w:t>lags</w:t>
      </w:r>
      <w:proofErr w:type="spellEnd"/>
      <w:r w:rsidR="00805E89" w:rsidRPr="002C7F50">
        <w:rPr>
          <w:rFonts w:ascii="Garamond" w:hAnsi="Garamond"/>
          <w:i/>
          <w:sz w:val="24"/>
          <w:szCs w:val="24"/>
          <w:highlight w:val="yellow"/>
        </w:rPr>
        <w:t xml:space="preserve"> </w:t>
      </w:r>
      <w:r w:rsidR="00805E89" w:rsidRPr="002C7F50">
        <w:rPr>
          <w:rFonts w:ascii="Garamond" w:hAnsi="Garamond"/>
          <w:sz w:val="24"/>
          <w:szCs w:val="24"/>
          <w:highlight w:val="yellow"/>
        </w:rPr>
        <w:t xml:space="preserve">das variáveis em primeira diferença como instrumentos para a equação em nível e </w:t>
      </w:r>
      <w:proofErr w:type="spellStart"/>
      <w:r w:rsidR="00805E89" w:rsidRPr="002C7F50">
        <w:rPr>
          <w:rFonts w:ascii="Garamond" w:hAnsi="Garamond"/>
          <w:i/>
          <w:sz w:val="24"/>
          <w:szCs w:val="24"/>
          <w:highlight w:val="yellow"/>
        </w:rPr>
        <w:t>lags</w:t>
      </w:r>
      <w:proofErr w:type="spellEnd"/>
      <w:r w:rsidR="00805E89" w:rsidRPr="002C7F50">
        <w:rPr>
          <w:rFonts w:ascii="Garamond" w:hAnsi="Garamond"/>
          <w:sz w:val="24"/>
          <w:szCs w:val="24"/>
          <w:highlight w:val="yellow"/>
        </w:rPr>
        <w:t xml:space="preserve"> das variáveis em nível para a equação em primeira diferença.</w:t>
      </w:r>
      <w:r w:rsidR="00805E89" w:rsidRPr="002C7F50">
        <w:rPr>
          <w:rFonts w:ascii="Garamond" w:hAnsi="Garamond"/>
          <w:sz w:val="24"/>
          <w:szCs w:val="24"/>
        </w:rPr>
        <w:t xml:space="preserve"> </w:t>
      </w:r>
      <w:r w:rsidR="00805E89" w:rsidRPr="002C7F50">
        <w:rPr>
          <w:rFonts w:ascii="Garamond" w:hAnsi="Garamond"/>
          <w:sz w:val="24"/>
          <w:szCs w:val="24"/>
          <w:highlight w:val="yellow"/>
        </w:rPr>
        <w:t xml:space="preserve">Reconhecendo essa dificuldade, o presente estudo fez uso dessa técnica empregando também </w:t>
      </w:r>
      <w:proofErr w:type="spellStart"/>
      <w:r w:rsidR="00805E89" w:rsidRPr="002C7F50">
        <w:rPr>
          <w:rFonts w:ascii="Garamond" w:hAnsi="Garamond"/>
          <w:sz w:val="24"/>
          <w:szCs w:val="24"/>
          <w:highlight w:val="yellow"/>
        </w:rPr>
        <w:t>lags</w:t>
      </w:r>
      <w:proofErr w:type="spellEnd"/>
      <w:r w:rsidR="00805E89" w:rsidRPr="002C7F50">
        <w:rPr>
          <w:rFonts w:ascii="Garamond" w:hAnsi="Garamond"/>
          <w:sz w:val="24"/>
          <w:szCs w:val="24"/>
          <w:highlight w:val="yellow"/>
        </w:rPr>
        <w:t xml:space="preserve"> dos indicadores de capital humano na tentativa de instrumentalizá-lo.</w:t>
      </w:r>
      <w:r w:rsidR="00805E89" w:rsidRPr="002C7F50">
        <w:rPr>
          <w:rFonts w:ascii="Garamond" w:hAnsi="Garamond"/>
          <w:sz w:val="24"/>
          <w:szCs w:val="24"/>
        </w:rPr>
        <w:t xml:space="preserve"> </w:t>
      </w:r>
    </w:p>
    <w:p w:rsidR="00ED2E33" w:rsidRPr="002C7F50" w:rsidRDefault="00805E89" w:rsidP="00C2622B">
      <w:pPr>
        <w:spacing w:after="0" w:line="240" w:lineRule="auto"/>
        <w:jc w:val="both"/>
        <w:rPr>
          <w:rFonts w:ascii="Garamond" w:hAnsi="Garamond"/>
          <w:sz w:val="24"/>
          <w:szCs w:val="24"/>
        </w:rPr>
      </w:pPr>
      <w:r w:rsidRPr="002C7F50">
        <w:rPr>
          <w:rFonts w:ascii="Garamond" w:hAnsi="Garamond"/>
          <w:sz w:val="24"/>
          <w:szCs w:val="24"/>
          <w:highlight w:val="yellow"/>
        </w:rPr>
        <w:tab/>
        <w:t xml:space="preserve">Primeiramente percebe-se que, nos modelos em questão, as variáveis apresentaram os sinais previstos pela teoria. E, além disso, o coeficiente estimado da variável dependente defasada, no </w:t>
      </w:r>
      <w:r w:rsidRPr="002C7F50">
        <w:rPr>
          <w:rFonts w:ascii="Garamond" w:hAnsi="Garamond"/>
          <w:i/>
          <w:sz w:val="24"/>
          <w:szCs w:val="24"/>
          <w:highlight w:val="yellow"/>
        </w:rPr>
        <w:t>System-GMM</w:t>
      </w:r>
      <w:r w:rsidRPr="002C7F50">
        <w:rPr>
          <w:rFonts w:ascii="Garamond" w:hAnsi="Garamond"/>
          <w:sz w:val="24"/>
          <w:szCs w:val="24"/>
          <w:highlight w:val="yellow"/>
        </w:rPr>
        <w:t xml:space="preserve"> em ambos os modelos, está exatamente entre os limites das estimações via </w:t>
      </w:r>
      <w:proofErr w:type="spellStart"/>
      <w:r w:rsidRPr="002C7F50">
        <w:rPr>
          <w:rFonts w:ascii="Garamond" w:hAnsi="Garamond"/>
          <w:sz w:val="24"/>
          <w:szCs w:val="24"/>
          <w:highlight w:val="yellow"/>
        </w:rPr>
        <w:t>Pooled</w:t>
      </w:r>
      <w:proofErr w:type="spellEnd"/>
      <w:r w:rsidRPr="002C7F50">
        <w:rPr>
          <w:rFonts w:ascii="Garamond" w:hAnsi="Garamond"/>
          <w:sz w:val="24"/>
          <w:szCs w:val="24"/>
          <w:highlight w:val="yellow"/>
        </w:rPr>
        <w:t xml:space="preserve"> (MQO) e via método </w:t>
      </w:r>
      <w:proofErr w:type="spellStart"/>
      <w:r w:rsidRPr="002C7F50">
        <w:rPr>
          <w:rFonts w:ascii="Garamond" w:hAnsi="Garamond"/>
          <w:sz w:val="24"/>
          <w:szCs w:val="24"/>
          <w:highlight w:val="yellow"/>
        </w:rPr>
        <w:t>Within</w:t>
      </w:r>
      <w:proofErr w:type="spellEnd"/>
      <w:r w:rsidRPr="002C7F50">
        <w:rPr>
          <w:rFonts w:ascii="Garamond" w:hAnsi="Garamond"/>
          <w:sz w:val="24"/>
          <w:szCs w:val="24"/>
          <w:highlight w:val="yellow"/>
        </w:rPr>
        <w:t xml:space="preserve"> </w:t>
      </w:r>
      <w:proofErr w:type="spellStart"/>
      <w:r w:rsidRPr="002C7F50">
        <w:rPr>
          <w:rFonts w:ascii="Garamond" w:hAnsi="Garamond"/>
          <w:sz w:val="24"/>
          <w:szCs w:val="24"/>
          <w:highlight w:val="yellow"/>
        </w:rPr>
        <w:t>Groups</w:t>
      </w:r>
      <w:proofErr w:type="spellEnd"/>
      <w:r w:rsidRPr="002C7F50">
        <w:rPr>
          <w:rFonts w:ascii="Garamond" w:hAnsi="Garamond"/>
          <w:sz w:val="24"/>
          <w:szCs w:val="24"/>
          <w:highlight w:val="yellow"/>
        </w:rPr>
        <w:t xml:space="preserve"> (Efeitos Fixos) como recomendado por </w:t>
      </w:r>
      <w:proofErr w:type="spellStart"/>
      <w:r w:rsidRPr="002C7F50">
        <w:rPr>
          <w:rFonts w:ascii="Garamond" w:hAnsi="Garamond"/>
          <w:sz w:val="24"/>
          <w:szCs w:val="24"/>
          <w:highlight w:val="yellow"/>
        </w:rPr>
        <w:t>Arellano</w:t>
      </w:r>
      <w:proofErr w:type="spellEnd"/>
      <w:r w:rsidRPr="002C7F50">
        <w:rPr>
          <w:rFonts w:ascii="Garamond" w:hAnsi="Garamond"/>
          <w:sz w:val="24"/>
          <w:szCs w:val="24"/>
          <w:highlight w:val="yellow"/>
        </w:rPr>
        <w:t xml:space="preserve"> e </w:t>
      </w:r>
      <w:proofErr w:type="spellStart"/>
      <w:r w:rsidRPr="002C7F50">
        <w:rPr>
          <w:rFonts w:ascii="Garamond" w:hAnsi="Garamond"/>
          <w:sz w:val="24"/>
          <w:szCs w:val="24"/>
          <w:highlight w:val="yellow"/>
        </w:rPr>
        <w:t>Bover</w:t>
      </w:r>
      <w:proofErr w:type="spellEnd"/>
      <w:r w:rsidRPr="002C7F50">
        <w:rPr>
          <w:rFonts w:ascii="Garamond" w:hAnsi="Garamond"/>
          <w:sz w:val="24"/>
          <w:szCs w:val="24"/>
          <w:highlight w:val="yellow"/>
        </w:rPr>
        <w:t xml:space="preserve"> (1995) e </w:t>
      </w:r>
      <w:proofErr w:type="spellStart"/>
      <w:r w:rsidRPr="002C7F50">
        <w:rPr>
          <w:rFonts w:ascii="Garamond" w:hAnsi="Garamond"/>
          <w:sz w:val="24"/>
          <w:szCs w:val="24"/>
          <w:highlight w:val="yellow"/>
        </w:rPr>
        <w:t>Blundell</w:t>
      </w:r>
      <w:proofErr w:type="spellEnd"/>
      <w:r w:rsidRPr="002C7F50">
        <w:rPr>
          <w:rFonts w:ascii="Garamond" w:hAnsi="Garamond"/>
          <w:sz w:val="24"/>
          <w:szCs w:val="24"/>
          <w:highlight w:val="yellow"/>
        </w:rPr>
        <w:t xml:space="preserve"> e Bond (1998), uma vez que o primeiro superestima e o segundo subestima o referido coeficiente; os testes de validade dos instrumentos de Hansen e </w:t>
      </w:r>
      <w:proofErr w:type="spellStart"/>
      <w:r w:rsidRPr="002C7F50">
        <w:rPr>
          <w:rFonts w:ascii="Garamond" w:hAnsi="Garamond"/>
          <w:sz w:val="24"/>
          <w:szCs w:val="24"/>
          <w:highlight w:val="yellow"/>
        </w:rPr>
        <w:t>Sargan</w:t>
      </w:r>
      <w:proofErr w:type="spellEnd"/>
      <w:r w:rsidRPr="002C7F50">
        <w:rPr>
          <w:rFonts w:ascii="Garamond" w:hAnsi="Garamond"/>
          <w:sz w:val="24"/>
          <w:szCs w:val="24"/>
          <w:highlight w:val="yellow"/>
        </w:rPr>
        <w:t xml:space="preserve"> não rejeitam a hipótese de que os instrumentos são válidos. E, por fim, o teste </w:t>
      </w:r>
      <w:proofErr w:type="spellStart"/>
      <w:r w:rsidRPr="002C7F50">
        <w:rPr>
          <w:rFonts w:ascii="Garamond" w:hAnsi="Garamond"/>
          <w:sz w:val="24"/>
          <w:szCs w:val="24"/>
          <w:highlight w:val="yellow"/>
        </w:rPr>
        <w:t>Difference</w:t>
      </w:r>
      <w:proofErr w:type="spellEnd"/>
      <w:r w:rsidRPr="002C7F50">
        <w:rPr>
          <w:rFonts w:ascii="Garamond" w:hAnsi="Garamond"/>
          <w:sz w:val="24"/>
          <w:szCs w:val="24"/>
          <w:highlight w:val="yellow"/>
        </w:rPr>
        <w:t xml:space="preserve">-Hansen não rejeita a hipótese de </w:t>
      </w:r>
      <w:proofErr w:type="spellStart"/>
      <w:r w:rsidRPr="002C7F50">
        <w:rPr>
          <w:rFonts w:ascii="Garamond" w:hAnsi="Garamond"/>
          <w:sz w:val="24"/>
          <w:szCs w:val="24"/>
          <w:highlight w:val="yellow"/>
        </w:rPr>
        <w:t>exogeneidade</w:t>
      </w:r>
      <w:proofErr w:type="spellEnd"/>
      <w:r w:rsidRPr="002C7F50">
        <w:rPr>
          <w:rFonts w:ascii="Garamond" w:hAnsi="Garamond"/>
          <w:sz w:val="24"/>
          <w:szCs w:val="24"/>
          <w:highlight w:val="yellow"/>
        </w:rPr>
        <w:t xml:space="preserve"> dos instrumentos. Portanto, acredita-se que boa parte dos efeitos da </w:t>
      </w:r>
      <w:proofErr w:type="spellStart"/>
      <w:r w:rsidRPr="002C7F50">
        <w:rPr>
          <w:rFonts w:ascii="Garamond" w:hAnsi="Garamond"/>
          <w:sz w:val="24"/>
          <w:szCs w:val="24"/>
          <w:highlight w:val="yellow"/>
        </w:rPr>
        <w:t>endogeneidade</w:t>
      </w:r>
      <w:proofErr w:type="spellEnd"/>
      <w:r w:rsidRPr="002C7F50">
        <w:rPr>
          <w:rFonts w:ascii="Garamond" w:hAnsi="Garamond"/>
          <w:sz w:val="24"/>
          <w:szCs w:val="24"/>
          <w:highlight w:val="yellow"/>
        </w:rPr>
        <w:t xml:space="preserve"> no modelo foram </w:t>
      </w:r>
      <w:proofErr w:type="gramStart"/>
      <w:r w:rsidRPr="002C7F50">
        <w:rPr>
          <w:rFonts w:ascii="Garamond" w:hAnsi="Garamond"/>
          <w:sz w:val="24"/>
          <w:szCs w:val="24"/>
          <w:highlight w:val="yellow"/>
        </w:rPr>
        <w:t>expurgados</w:t>
      </w:r>
      <w:proofErr w:type="gramEnd"/>
      <w:r w:rsidRPr="002C7F50">
        <w:rPr>
          <w:rFonts w:ascii="Garamond" w:hAnsi="Garamond"/>
          <w:sz w:val="24"/>
          <w:szCs w:val="24"/>
          <w:highlight w:val="yellow"/>
        </w:rPr>
        <w:t xml:space="preserve">, todavia, ainda se deve empregar cautela, uma vez que não há um consenso na literatura sobre qual a melhor forma de controlar possíveis efeitos de </w:t>
      </w:r>
      <w:proofErr w:type="spellStart"/>
      <w:r w:rsidRPr="002C7F50">
        <w:rPr>
          <w:rFonts w:ascii="Garamond" w:hAnsi="Garamond"/>
          <w:sz w:val="24"/>
          <w:szCs w:val="24"/>
          <w:highlight w:val="yellow"/>
        </w:rPr>
        <w:t>endogeneidade</w:t>
      </w:r>
      <w:proofErr w:type="spellEnd"/>
      <w:r w:rsidRPr="002C7F50">
        <w:rPr>
          <w:rFonts w:ascii="Garamond" w:hAnsi="Garamond"/>
          <w:sz w:val="24"/>
          <w:szCs w:val="24"/>
          <w:highlight w:val="yellow"/>
        </w:rPr>
        <w:t xml:space="preserve"> em modelos empíricos de função de produção agregada com capital humano.</w:t>
      </w:r>
    </w:p>
    <w:p w:rsidR="00BA7C9C" w:rsidRPr="002C7F50" w:rsidRDefault="00BA7C9C" w:rsidP="00C2622B">
      <w:pPr>
        <w:spacing w:after="0" w:line="240" w:lineRule="auto"/>
        <w:jc w:val="both"/>
        <w:rPr>
          <w:rFonts w:ascii="Garamond" w:hAnsi="Garamond"/>
          <w:sz w:val="24"/>
          <w:szCs w:val="24"/>
        </w:rPr>
      </w:pPr>
    </w:p>
    <w:tbl>
      <w:tblPr>
        <w:tblStyle w:val="Tabelacomgrade"/>
        <w:tblW w:w="4963" w:type="pct"/>
        <w:tblLook w:val="04A0" w:firstRow="1" w:lastRow="0" w:firstColumn="1" w:lastColumn="0" w:noHBand="0" w:noVBand="1"/>
      </w:tblPr>
      <w:tblGrid>
        <w:gridCol w:w="2151"/>
        <w:gridCol w:w="929"/>
        <w:gridCol w:w="1069"/>
        <w:gridCol w:w="1318"/>
        <w:gridCol w:w="1318"/>
        <w:gridCol w:w="1143"/>
        <w:gridCol w:w="1289"/>
      </w:tblGrid>
      <w:tr w:rsidR="00C2622B" w:rsidRPr="002C7F50" w:rsidTr="00C2622B">
        <w:trPr>
          <w:trHeight w:val="394"/>
        </w:trPr>
        <w:tc>
          <w:tcPr>
            <w:tcW w:w="5000" w:type="pct"/>
            <w:gridSpan w:val="7"/>
            <w:tcBorders>
              <w:top w:val="nil"/>
              <w:left w:val="nil"/>
              <w:bottom w:val="single" w:sz="4" w:space="0" w:color="auto"/>
              <w:right w:val="nil"/>
            </w:tcBorders>
            <w:vAlign w:val="center"/>
            <w:hideMark/>
          </w:tcPr>
          <w:p w:rsidR="00C2622B" w:rsidRPr="002C7F50" w:rsidRDefault="00C2622B" w:rsidP="00C2622B">
            <w:pPr>
              <w:rPr>
                <w:rFonts w:ascii="Garamond" w:eastAsia="Times New Roman" w:hAnsi="Garamond"/>
                <w:b/>
                <w:sz w:val="24"/>
                <w:szCs w:val="24"/>
              </w:rPr>
            </w:pPr>
            <w:r w:rsidRPr="002C7F50">
              <w:rPr>
                <w:rFonts w:ascii="Garamond" w:hAnsi="Garamond"/>
                <w:sz w:val="24"/>
                <w:szCs w:val="24"/>
              </w:rPr>
              <w:t>Tabela 4: Resultados dos Modelos Estimados</w:t>
            </w:r>
          </w:p>
        </w:tc>
      </w:tr>
      <w:tr w:rsidR="00C2622B" w:rsidRPr="002C7F50" w:rsidTr="00BA7C9C">
        <w:trPr>
          <w:trHeight w:val="346"/>
        </w:trPr>
        <w:tc>
          <w:tcPr>
            <w:tcW w:w="1167" w:type="pct"/>
            <w:vMerge w:val="restart"/>
            <w:tcBorders>
              <w:top w:val="single" w:sz="4" w:space="0" w:color="auto"/>
              <w:left w:val="nil"/>
              <w:bottom w:val="single" w:sz="4" w:space="0" w:color="auto"/>
              <w:right w:val="single" w:sz="4" w:space="0" w:color="auto"/>
            </w:tcBorders>
            <w:vAlign w:val="center"/>
            <w:hideMark/>
          </w:tcPr>
          <w:p w:rsidR="00C2622B" w:rsidRPr="002C7F50" w:rsidRDefault="00C2622B" w:rsidP="00C2622B">
            <w:pPr>
              <w:jc w:val="center"/>
              <w:rPr>
                <w:rFonts w:ascii="Garamond" w:hAnsi="Garamond"/>
                <w:b/>
                <w:sz w:val="24"/>
                <w:szCs w:val="24"/>
              </w:rPr>
            </w:pPr>
            <w:r w:rsidRPr="002C7F50">
              <w:rPr>
                <w:rFonts w:ascii="Garamond" w:hAnsi="Garamond"/>
                <w:b/>
                <w:bCs/>
                <w:sz w:val="24"/>
                <w:szCs w:val="24"/>
              </w:rPr>
              <w:t>Variáveis explicativas</w:t>
            </w:r>
          </w:p>
        </w:tc>
        <w:tc>
          <w:tcPr>
            <w:tcW w:w="1798" w:type="pct"/>
            <w:gridSpan w:val="3"/>
            <w:tcBorders>
              <w:top w:val="single" w:sz="4" w:space="0" w:color="auto"/>
              <w:left w:val="single" w:sz="4" w:space="0" w:color="auto"/>
              <w:bottom w:val="single" w:sz="4" w:space="0" w:color="auto"/>
              <w:right w:val="single" w:sz="4" w:space="0" w:color="auto"/>
            </w:tcBorders>
            <w:vAlign w:val="center"/>
            <w:hideMark/>
          </w:tcPr>
          <w:p w:rsidR="00C2622B" w:rsidRPr="002C7F50" w:rsidRDefault="00C2622B" w:rsidP="00C2622B">
            <w:pPr>
              <w:jc w:val="center"/>
              <w:rPr>
                <w:rFonts w:ascii="Garamond" w:hAnsi="Garamond"/>
                <w:b/>
                <w:sz w:val="24"/>
                <w:szCs w:val="24"/>
              </w:rPr>
            </w:pPr>
            <w:r w:rsidRPr="002C7F50">
              <w:rPr>
                <w:rFonts w:ascii="Garamond" w:hAnsi="Garamond"/>
                <w:b/>
                <w:sz w:val="24"/>
                <w:szCs w:val="24"/>
              </w:rPr>
              <w:t>Ensino Fundamental</w:t>
            </w:r>
          </w:p>
        </w:tc>
        <w:tc>
          <w:tcPr>
            <w:tcW w:w="2034" w:type="pct"/>
            <w:gridSpan w:val="3"/>
            <w:tcBorders>
              <w:top w:val="single" w:sz="4" w:space="0" w:color="auto"/>
              <w:left w:val="single" w:sz="4" w:space="0" w:color="auto"/>
              <w:bottom w:val="single" w:sz="4" w:space="0" w:color="auto"/>
              <w:right w:val="nil"/>
            </w:tcBorders>
            <w:vAlign w:val="center"/>
            <w:hideMark/>
          </w:tcPr>
          <w:p w:rsidR="00C2622B" w:rsidRPr="002C7F50" w:rsidRDefault="00C2622B" w:rsidP="00C2622B">
            <w:pPr>
              <w:jc w:val="center"/>
              <w:rPr>
                <w:rFonts w:ascii="Garamond" w:hAnsi="Garamond"/>
                <w:b/>
                <w:sz w:val="24"/>
                <w:szCs w:val="24"/>
              </w:rPr>
            </w:pPr>
            <w:r w:rsidRPr="002C7F50">
              <w:rPr>
                <w:rFonts w:ascii="Garamond" w:hAnsi="Garamond"/>
                <w:b/>
                <w:sz w:val="24"/>
                <w:szCs w:val="24"/>
              </w:rPr>
              <w:t>Ensino Médio</w:t>
            </w:r>
          </w:p>
        </w:tc>
      </w:tr>
      <w:tr w:rsidR="00C2622B" w:rsidRPr="002C7F50" w:rsidTr="00BA7C9C">
        <w:trPr>
          <w:trHeight w:val="725"/>
        </w:trPr>
        <w:tc>
          <w:tcPr>
            <w:tcW w:w="0" w:type="auto"/>
            <w:vMerge/>
            <w:tcBorders>
              <w:top w:val="single" w:sz="4" w:space="0" w:color="auto"/>
              <w:left w:val="nil"/>
              <w:bottom w:val="single" w:sz="4" w:space="0" w:color="auto"/>
              <w:right w:val="single" w:sz="4" w:space="0" w:color="auto"/>
            </w:tcBorders>
            <w:vAlign w:val="center"/>
            <w:hideMark/>
          </w:tcPr>
          <w:p w:rsidR="00C2622B" w:rsidRPr="002C7F50" w:rsidRDefault="00C2622B" w:rsidP="00C2622B">
            <w:pPr>
              <w:rPr>
                <w:rFonts w:ascii="Garamond" w:eastAsia="Times New Roman" w:hAnsi="Garamond"/>
                <w:b/>
                <w:sz w:val="24"/>
                <w:szCs w:val="24"/>
              </w:rPr>
            </w:pPr>
          </w:p>
        </w:tc>
        <w:tc>
          <w:tcPr>
            <w:tcW w:w="504" w:type="pct"/>
            <w:tcBorders>
              <w:top w:val="single" w:sz="4" w:space="0" w:color="auto"/>
              <w:left w:val="single" w:sz="4" w:space="0" w:color="auto"/>
              <w:bottom w:val="single" w:sz="4" w:space="0" w:color="auto"/>
              <w:right w:val="single" w:sz="4" w:space="0" w:color="auto"/>
            </w:tcBorders>
            <w:vAlign w:val="center"/>
            <w:hideMark/>
          </w:tcPr>
          <w:p w:rsidR="00C2622B" w:rsidRPr="002C7F50" w:rsidRDefault="00C2622B" w:rsidP="00C2622B">
            <w:pPr>
              <w:jc w:val="center"/>
              <w:rPr>
                <w:rFonts w:ascii="Garamond" w:hAnsi="Garamond"/>
                <w:b/>
                <w:i/>
                <w:sz w:val="24"/>
                <w:szCs w:val="24"/>
                <w:highlight w:val="yellow"/>
              </w:rPr>
            </w:pPr>
            <w:proofErr w:type="spellStart"/>
            <w:r w:rsidRPr="002C7F50">
              <w:rPr>
                <w:rFonts w:ascii="Garamond" w:hAnsi="Garamond"/>
                <w:b/>
                <w:i/>
                <w:sz w:val="24"/>
                <w:szCs w:val="24"/>
                <w:highlight w:val="yellow"/>
              </w:rPr>
              <w:t>Pooled</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C2622B" w:rsidRPr="002C7F50" w:rsidRDefault="00C2622B" w:rsidP="00C2622B">
            <w:pPr>
              <w:jc w:val="center"/>
              <w:rPr>
                <w:rFonts w:ascii="Garamond" w:hAnsi="Garamond"/>
                <w:b/>
                <w:sz w:val="24"/>
                <w:szCs w:val="24"/>
                <w:highlight w:val="yellow"/>
              </w:rPr>
            </w:pPr>
            <w:r w:rsidRPr="002C7F50">
              <w:rPr>
                <w:rFonts w:ascii="Garamond" w:hAnsi="Garamond"/>
                <w:b/>
                <w:sz w:val="24"/>
                <w:szCs w:val="24"/>
                <w:highlight w:val="yellow"/>
              </w:rPr>
              <w:t>Efeitos Fixos</w:t>
            </w:r>
          </w:p>
        </w:tc>
        <w:tc>
          <w:tcPr>
            <w:tcW w:w="714" w:type="pct"/>
            <w:tcBorders>
              <w:top w:val="single" w:sz="4" w:space="0" w:color="auto"/>
              <w:left w:val="single" w:sz="4" w:space="0" w:color="auto"/>
              <w:bottom w:val="single" w:sz="4" w:space="0" w:color="auto"/>
              <w:right w:val="single" w:sz="4" w:space="0" w:color="auto"/>
            </w:tcBorders>
            <w:vAlign w:val="center"/>
            <w:hideMark/>
          </w:tcPr>
          <w:p w:rsidR="00C2622B" w:rsidRPr="002C7F50" w:rsidRDefault="00C2622B" w:rsidP="00C2622B">
            <w:pPr>
              <w:jc w:val="center"/>
              <w:rPr>
                <w:rFonts w:ascii="Garamond" w:hAnsi="Garamond"/>
                <w:b/>
                <w:i/>
                <w:sz w:val="24"/>
                <w:szCs w:val="24"/>
              </w:rPr>
            </w:pPr>
            <w:r w:rsidRPr="002C7F50">
              <w:rPr>
                <w:rFonts w:ascii="Garamond" w:hAnsi="Garamond"/>
                <w:b/>
                <w:i/>
                <w:sz w:val="24"/>
                <w:szCs w:val="24"/>
              </w:rPr>
              <w:t>System</w:t>
            </w:r>
          </w:p>
          <w:p w:rsidR="00C2622B" w:rsidRPr="002C7F50" w:rsidRDefault="00C2622B" w:rsidP="00C2622B">
            <w:pPr>
              <w:jc w:val="center"/>
              <w:rPr>
                <w:rFonts w:ascii="Garamond" w:hAnsi="Garamond"/>
                <w:b/>
                <w:i/>
                <w:sz w:val="24"/>
                <w:szCs w:val="24"/>
              </w:rPr>
            </w:pPr>
            <w:r w:rsidRPr="002C7F50">
              <w:rPr>
                <w:rFonts w:ascii="Garamond" w:hAnsi="Garamond"/>
                <w:b/>
                <w:i/>
                <w:sz w:val="24"/>
                <w:szCs w:val="24"/>
              </w:rPr>
              <w:t>GMM</w:t>
            </w:r>
          </w:p>
        </w:tc>
        <w:tc>
          <w:tcPr>
            <w:tcW w:w="715" w:type="pct"/>
            <w:tcBorders>
              <w:top w:val="single" w:sz="4" w:space="0" w:color="auto"/>
              <w:left w:val="single" w:sz="4" w:space="0" w:color="auto"/>
              <w:bottom w:val="single" w:sz="4" w:space="0" w:color="auto"/>
              <w:right w:val="single" w:sz="4" w:space="0" w:color="auto"/>
            </w:tcBorders>
            <w:vAlign w:val="center"/>
            <w:hideMark/>
          </w:tcPr>
          <w:p w:rsidR="00C2622B" w:rsidRPr="002C7F50" w:rsidRDefault="00C2622B" w:rsidP="00C2622B">
            <w:pPr>
              <w:jc w:val="center"/>
              <w:rPr>
                <w:rFonts w:ascii="Garamond" w:hAnsi="Garamond"/>
                <w:b/>
                <w:i/>
                <w:sz w:val="24"/>
                <w:szCs w:val="24"/>
                <w:highlight w:val="yellow"/>
              </w:rPr>
            </w:pPr>
            <w:proofErr w:type="spellStart"/>
            <w:r w:rsidRPr="002C7F50">
              <w:rPr>
                <w:rFonts w:ascii="Garamond" w:hAnsi="Garamond"/>
                <w:b/>
                <w:i/>
                <w:sz w:val="24"/>
                <w:szCs w:val="24"/>
                <w:highlight w:val="yellow"/>
              </w:rPr>
              <w:t>Pooled</w:t>
            </w:r>
            <w:proofErr w:type="spellEnd"/>
          </w:p>
        </w:tc>
        <w:tc>
          <w:tcPr>
            <w:tcW w:w="620" w:type="pct"/>
            <w:tcBorders>
              <w:top w:val="single" w:sz="4" w:space="0" w:color="auto"/>
              <w:left w:val="single" w:sz="4" w:space="0" w:color="auto"/>
              <w:bottom w:val="single" w:sz="4" w:space="0" w:color="auto"/>
              <w:right w:val="single" w:sz="4" w:space="0" w:color="auto"/>
            </w:tcBorders>
            <w:vAlign w:val="center"/>
            <w:hideMark/>
          </w:tcPr>
          <w:p w:rsidR="00C2622B" w:rsidRPr="002C7F50" w:rsidRDefault="00C2622B" w:rsidP="00C2622B">
            <w:pPr>
              <w:jc w:val="center"/>
              <w:rPr>
                <w:rFonts w:ascii="Garamond" w:hAnsi="Garamond"/>
                <w:b/>
                <w:sz w:val="24"/>
                <w:szCs w:val="24"/>
                <w:highlight w:val="yellow"/>
              </w:rPr>
            </w:pPr>
            <w:r w:rsidRPr="002C7F50">
              <w:rPr>
                <w:rFonts w:ascii="Garamond" w:hAnsi="Garamond"/>
                <w:b/>
                <w:sz w:val="24"/>
                <w:szCs w:val="24"/>
                <w:highlight w:val="yellow"/>
              </w:rPr>
              <w:t>Efeitos Fixos</w:t>
            </w:r>
          </w:p>
        </w:tc>
        <w:tc>
          <w:tcPr>
            <w:tcW w:w="700" w:type="pct"/>
            <w:tcBorders>
              <w:top w:val="single" w:sz="4" w:space="0" w:color="auto"/>
              <w:left w:val="single" w:sz="4" w:space="0" w:color="auto"/>
              <w:bottom w:val="single" w:sz="4" w:space="0" w:color="auto"/>
              <w:right w:val="nil"/>
            </w:tcBorders>
            <w:vAlign w:val="center"/>
            <w:hideMark/>
          </w:tcPr>
          <w:p w:rsidR="00C2622B" w:rsidRPr="002C7F50" w:rsidRDefault="00C2622B" w:rsidP="00C2622B">
            <w:pPr>
              <w:jc w:val="center"/>
              <w:rPr>
                <w:rFonts w:ascii="Garamond" w:hAnsi="Garamond"/>
                <w:b/>
                <w:i/>
                <w:sz w:val="24"/>
                <w:szCs w:val="24"/>
              </w:rPr>
            </w:pPr>
            <w:r w:rsidRPr="002C7F50">
              <w:rPr>
                <w:rFonts w:ascii="Garamond" w:hAnsi="Garamond"/>
                <w:b/>
                <w:i/>
                <w:sz w:val="24"/>
                <w:szCs w:val="24"/>
              </w:rPr>
              <w:t>System</w:t>
            </w:r>
          </w:p>
          <w:p w:rsidR="00C2622B" w:rsidRPr="002C7F50" w:rsidRDefault="00C2622B" w:rsidP="00C2622B">
            <w:pPr>
              <w:jc w:val="center"/>
              <w:rPr>
                <w:rFonts w:ascii="Garamond" w:hAnsi="Garamond"/>
                <w:b/>
                <w:sz w:val="24"/>
                <w:szCs w:val="24"/>
              </w:rPr>
            </w:pPr>
            <w:r w:rsidRPr="002C7F50">
              <w:rPr>
                <w:rFonts w:ascii="Garamond" w:hAnsi="Garamond"/>
                <w:b/>
                <w:i/>
                <w:sz w:val="24"/>
                <w:szCs w:val="24"/>
              </w:rPr>
              <w:t>GMM</w:t>
            </w:r>
          </w:p>
        </w:tc>
      </w:tr>
      <w:tr w:rsidR="00C2622B" w:rsidRPr="002C7F50" w:rsidTr="00BA7C9C">
        <w:trPr>
          <w:trHeight w:val="346"/>
        </w:trPr>
        <w:tc>
          <w:tcPr>
            <w:tcW w:w="1167" w:type="pct"/>
            <w:vMerge w:val="restart"/>
            <w:tcBorders>
              <w:top w:val="single" w:sz="4" w:space="0" w:color="auto"/>
              <w:left w:val="nil"/>
              <w:bottom w:val="single" w:sz="4" w:space="0" w:color="auto"/>
              <w:right w:val="nil"/>
            </w:tcBorders>
            <w:vAlign w:val="center"/>
            <w:hideMark/>
          </w:tcPr>
          <w:p w:rsidR="00C2622B" w:rsidRPr="002C7F50" w:rsidRDefault="00C2622B" w:rsidP="00C2622B">
            <w:pPr>
              <w:jc w:val="center"/>
              <w:rPr>
                <w:rFonts w:ascii="Garamond" w:hAnsi="Garamond"/>
                <w:i/>
                <w:iCs/>
                <w:sz w:val="24"/>
                <w:szCs w:val="24"/>
              </w:rPr>
            </w:pPr>
            <w:proofErr w:type="gramStart"/>
            <w:r w:rsidRPr="002C7F50">
              <w:rPr>
                <w:rFonts w:ascii="Garamond" w:hAnsi="Garamond"/>
                <w:i/>
                <w:iCs/>
                <w:sz w:val="24"/>
                <w:szCs w:val="24"/>
              </w:rPr>
              <w:t>LnY</w:t>
            </w:r>
            <w:r w:rsidRPr="002C7F50">
              <w:rPr>
                <w:rFonts w:ascii="Garamond" w:hAnsi="Garamond"/>
                <w:i/>
                <w:iCs/>
                <w:sz w:val="24"/>
                <w:szCs w:val="24"/>
                <w:vertAlign w:val="subscript"/>
              </w:rPr>
              <w:t>it</w:t>
            </w:r>
            <w:proofErr w:type="gramEnd"/>
            <w:r w:rsidRPr="002C7F50">
              <w:rPr>
                <w:rFonts w:ascii="Garamond" w:hAnsi="Garamond"/>
                <w:i/>
                <w:iCs/>
                <w:sz w:val="24"/>
                <w:szCs w:val="24"/>
                <w:vertAlign w:val="subscript"/>
              </w:rPr>
              <w:t>-1</w:t>
            </w:r>
          </w:p>
        </w:tc>
        <w:tc>
          <w:tcPr>
            <w:tcW w:w="50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0,835*</w:t>
            </w:r>
          </w:p>
        </w:tc>
        <w:tc>
          <w:tcPr>
            <w:tcW w:w="58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0,602*</w:t>
            </w:r>
          </w:p>
        </w:tc>
        <w:tc>
          <w:tcPr>
            <w:tcW w:w="71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 xml:space="preserve">  0,646*</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0,840*</w:t>
            </w:r>
          </w:p>
        </w:tc>
        <w:tc>
          <w:tcPr>
            <w:tcW w:w="62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0,615*</w:t>
            </w:r>
          </w:p>
        </w:tc>
        <w:tc>
          <w:tcPr>
            <w:tcW w:w="70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 xml:space="preserve">  0,658*</w:t>
            </w:r>
          </w:p>
        </w:tc>
      </w:tr>
      <w:tr w:rsidR="00C2622B" w:rsidRPr="002C7F50" w:rsidTr="00BA7C9C">
        <w:trPr>
          <w:trHeight w:val="362"/>
        </w:trPr>
        <w:tc>
          <w:tcPr>
            <w:tcW w:w="0" w:type="auto"/>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(0,030)</w:t>
            </w:r>
          </w:p>
        </w:tc>
        <w:tc>
          <w:tcPr>
            <w:tcW w:w="58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(0,053)</w:t>
            </w:r>
          </w:p>
        </w:tc>
        <w:tc>
          <w:tcPr>
            <w:tcW w:w="71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(0,071)</w:t>
            </w: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(0,02)</w:t>
            </w:r>
          </w:p>
        </w:tc>
        <w:tc>
          <w:tcPr>
            <w:tcW w:w="62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(0,047)</w:t>
            </w:r>
          </w:p>
        </w:tc>
        <w:tc>
          <w:tcPr>
            <w:tcW w:w="70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i/>
                <w:sz w:val="24"/>
                <w:szCs w:val="24"/>
              </w:rPr>
              <w:t>(0,0940</w:t>
            </w:r>
            <w:r w:rsidR="000A5B98" w:rsidRPr="002C7F50">
              <w:rPr>
                <w:rFonts w:ascii="Garamond" w:hAnsi="Garamond"/>
                <w:i/>
                <w:sz w:val="24"/>
                <w:szCs w:val="24"/>
              </w:rPr>
              <w:t>)</w:t>
            </w:r>
          </w:p>
        </w:tc>
      </w:tr>
      <w:tr w:rsidR="00C2622B" w:rsidRPr="002C7F50" w:rsidTr="00BA7C9C">
        <w:trPr>
          <w:trHeight w:val="346"/>
        </w:trPr>
        <w:tc>
          <w:tcPr>
            <w:tcW w:w="1167" w:type="pct"/>
            <w:vMerge w:val="restart"/>
            <w:tcBorders>
              <w:top w:val="single" w:sz="4" w:space="0" w:color="auto"/>
              <w:left w:val="nil"/>
              <w:bottom w:val="single" w:sz="4" w:space="0" w:color="auto"/>
              <w:right w:val="nil"/>
            </w:tcBorders>
            <w:vAlign w:val="center"/>
            <w:hideMark/>
          </w:tcPr>
          <w:p w:rsidR="00C2622B" w:rsidRPr="002C7F50" w:rsidRDefault="00C2622B" w:rsidP="00C2622B">
            <w:pPr>
              <w:jc w:val="center"/>
              <w:rPr>
                <w:rFonts w:ascii="Garamond" w:hAnsi="Garamond"/>
                <w:i/>
                <w:iCs/>
                <w:sz w:val="24"/>
                <w:szCs w:val="24"/>
              </w:rPr>
            </w:pPr>
            <w:proofErr w:type="spellStart"/>
            <w:proofErr w:type="gramStart"/>
            <w:r w:rsidRPr="002C7F50">
              <w:rPr>
                <w:rFonts w:ascii="Garamond" w:hAnsi="Garamond"/>
                <w:i/>
                <w:iCs/>
                <w:sz w:val="24"/>
                <w:szCs w:val="24"/>
              </w:rPr>
              <w:t>LnH</w:t>
            </w:r>
            <w:r w:rsidRPr="002C7F50">
              <w:rPr>
                <w:rFonts w:ascii="Garamond" w:hAnsi="Garamond"/>
                <w:i/>
                <w:iCs/>
                <w:sz w:val="24"/>
                <w:szCs w:val="24"/>
                <w:vertAlign w:val="subscript"/>
              </w:rPr>
              <w:t>it</w:t>
            </w:r>
            <w:proofErr w:type="spellEnd"/>
            <w:proofErr w:type="gramEnd"/>
          </w:p>
        </w:tc>
        <w:tc>
          <w:tcPr>
            <w:tcW w:w="50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0,030</w:t>
            </w:r>
          </w:p>
        </w:tc>
        <w:tc>
          <w:tcPr>
            <w:tcW w:w="58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0,072</w:t>
            </w:r>
          </w:p>
        </w:tc>
        <w:tc>
          <w:tcPr>
            <w:tcW w:w="71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0,097</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0,020</w:t>
            </w:r>
          </w:p>
        </w:tc>
        <w:tc>
          <w:tcPr>
            <w:tcW w:w="62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0,016</w:t>
            </w:r>
          </w:p>
        </w:tc>
        <w:tc>
          <w:tcPr>
            <w:tcW w:w="70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0,1158*</w:t>
            </w:r>
          </w:p>
        </w:tc>
      </w:tr>
      <w:tr w:rsidR="00C2622B" w:rsidRPr="002C7F50" w:rsidTr="00BA7C9C">
        <w:trPr>
          <w:trHeight w:val="362"/>
        </w:trPr>
        <w:tc>
          <w:tcPr>
            <w:tcW w:w="0" w:type="auto"/>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(0,022)</w:t>
            </w:r>
          </w:p>
        </w:tc>
        <w:tc>
          <w:tcPr>
            <w:tcW w:w="58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(0,046)</w:t>
            </w:r>
          </w:p>
        </w:tc>
        <w:tc>
          <w:tcPr>
            <w:tcW w:w="71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(0,066)</w:t>
            </w: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(0,015)</w:t>
            </w:r>
          </w:p>
        </w:tc>
        <w:tc>
          <w:tcPr>
            <w:tcW w:w="62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(0,021)</w:t>
            </w:r>
          </w:p>
        </w:tc>
        <w:tc>
          <w:tcPr>
            <w:tcW w:w="70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i/>
                <w:sz w:val="24"/>
                <w:szCs w:val="24"/>
              </w:rPr>
              <w:t>(0,042)</w:t>
            </w:r>
          </w:p>
        </w:tc>
      </w:tr>
      <w:tr w:rsidR="00C2622B" w:rsidRPr="002C7F50" w:rsidTr="00BA7C9C">
        <w:trPr>
          <w:trHeight w:val="346"/>
        </w:trPr>
        <w:tc>
          <w:tcPr>
            <w:tcW w:w="1167" w:type="pct"/>
            <w:vMerge w:val="restart"/>
            <w:tcBorders>
              <w:top w:val="single" w:sz="4" w:space="0" w:color="auto"/>
              <w:left w:val="nil"/>
              <w:bottom w:val="single" w:sz="4" w:space="0" w:color="auto"/>
              <w:right w:val="nil"/>
            </w:tcBorders>
            <w:vAlign w:val="center"/>
            <w:hideMark/>
          </w:tcPr>
          <w:p w:rsidR="00C2622B" w:rsidRPr="002C7F50" w:rsidRDefault="00C2622B" w:rsidP="00C2622B">
            <w:pPr>
              <w:jc w:val="center"/>
              <w:rPr>
                <w:rFonts w:ascii="Garamond" w:hAnsi="Garamond"/>
                <w:i/>
                <w:iCs/>
                <w:sz w:val="24"/>
                <w:szCs w:val="24"/>
              </w:rPr>
            </w:pPr>
            <w:proofErr w:type="spellStart"/>
            <w:proofErr w:type="gramStart"/>
            <w:r w:rsidRPr="002C7F50">
              <w:rPr>
                <w:rFonts w:ascii="Garamond" w:hAnsi="Garamond"/>
                <w:i/>
                <w:iCs/>
                <w:sz w:val="24"/>
                <w:szCs w:val="24"/>
              </w:rPr>
              <w:t>LnK</w:t>
            </w:r>
            <w:r w:rsidRPr="002C7F50">
              <w:rPr>
                <w:rFonts w:ascii="Garamond" w:hAnsi="Garamond"/>
                <w:i/>
                <w:iCs/>
                <w:sz w:val="24"/>
                <w:szCs w:val="24"/>
                <w:vertAlign w:val="subscript"/>
              </w:rPr>
              <w:t>it</w:t>
            </w:r>
            <w:proofErr w:type="spellEnd"/>
            <w:proofErr w:type="gramEnd"/>
          </w:p>
        </w:tc>
        <w:tc>
          <w:tcPr>
            <w:tcW w:w="50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0,030*</w:t>
            </w:r>
          </w:p>
        </w:tc>
        <w:tc>
          <w:tcPr>
            <w:tcW w:w="58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0,119**</w:t>
            </w:r>
          </w:p>
        </w:tc>
        <w:tc>
          <w:tcPr>
            <w:tcW w:w="71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0,071***</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0,034*</w:t>
            </w:r>
          </w:p>
        </w:tc>
        <w:tc>
          <w:tcPr>
            <w:tcW w:w="62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0,128*</w:t>
            </w:r>
          </w:p>
        </w:tc>
        <w:tc>
          <w:tcPr>
            <w:tcW w:w="70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0,060***</w:t>
            </w:r>
          </w:p>
        </w:tc>
      </w:tr>
      <w:tr w:rsidR="00C2622B" w:rsidRPr="002C7F50" w:rsidTr="00BA7C9C">
        <w:trPr>
          <w:trHeight w:val="362"/>
        </w:trPr>
        <w:tc>
          <w:tcPr>
            <w:tcW w:w="0" w:type="auto"/>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(0,013)</w:t>
            </w:r>
          </w:p>
        </w:tc>
        <w:tc>
          <w:tcPr>
            <w:tcW w:w="58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(0,054)</w:t>
            </w:r>
          </w:p>
        </w:tc>
        <w:tc>
          <w:tcPr>
            <w:tcW w:w="71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(0,037)</w:t>
            </w: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(0,012)</w:t>
            </w:r>
          </w:p>
        </w:tc>
        <w:tc>
          <w:tcPr>
            <w:tcW w:w="62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(0,049)</w:t>
            </w:r>
          </w:p>
        </w:tc>
        <w:tc>
          <w:tcPr>
            <w:tcW w:w="70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i/>
                <w:sz w:val="24"/>
                <w:szCs w:val="24"/>
              </w:rPr>
              <w:t>(0,034)</w:t>
            </w:r>
          </w:p>
        </w:tc>
      </w:tr>
      <w:tr w:rsidR="00C2622B" w:rsidRPr="002C7F50" w:rsidTr="00BA7C9C">
        <w:trPr>
          <w:trHeight w:val="346"/>
        </w:trPr>
        <w:tc>
          <w:tcPr>
            <w:tcW w:w="1167" w:type="pct"/>
            <w:vMerge w:val="restart"/>
            <w:tcBorders>
              <w:top w:val="single" w:sz="4" w:space="0" w:color="auto"/>
              <w:left w:val="nil"/>
              <w:bottom w:val="single" w:sz="4" w:space="0" w:color="auto"/>
              <w:right w:val="nil"/>
            </w:tcBorders>
            <w:vAlign w:val="center"/>
            <w:hideMark/>
          </w:tcPr>
          <w:p w:rsidR="00C2622B" w:rsidRPr="002C7F50" w:rsidRDefault="00C2622B" w:rsidP="00C2622B">
            <w:pPr>
              <w:jc w:val="center"/>
              <w:rPr>
                <w:rFonts w:ascii="Garamond" w:hAnsi="Garamond"/>
                <w:i/>
                <w:iCs/>
                <w:sz w:val="24"/>
                <w:szCs w:val="24"/>
              </w:rPr>
            </w:pPr>
            <w:proofErr w:type="spellStart"/>
            <w:proofErr w:type="gramStart"/>
            <w:r w:rsidRPr="002C7F50">
              <w:rPr>
                <w:rFonts w:ascii="Garamond" w:hAnsi="Garamond"/>
                <w:i/>
                <w:iCs/>
                <w:sz w:val="24"/>
                <w:szCs w:val="24"/>
              </w:rPr>
              <w:t>LnZ</w:t>
            </w:r>
            <w:r w:rsidRPr="002C7F50">
              <w:rPr>
                <w:rFonts w:ascii="Garamond" w:hAnsi="Garamond"/>
                <w:i/>
                <w:iCs/>
                <w:sz w:val="24"/>
                <w:szCs w:val="24"/>
                <w:vertAlign w:val="subscript"/>
              </w:rPr>
              <w:t>it</w:t>
            </w:r>
            <w:proofErr w:type="spellEnd"/>
            <w:proofErr w:type="gramEnd"/>
          </w:p>
        </w:tc>
        <w:tc>
          <w:tcPr>
            <w:tcW w:w="50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0,005</w:t>
            </w:r>
          </w:p>
        </w:tc>
        <w:tc>
          <w:tcPr>
            <w:tcW w:w="58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-0,001</w:t>
            </w:r>
          </w:p>
        </w:tc>
        <w:tc>
          <w:tcPr>
            <w:tcW w:w="71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-0,034***</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0,006</w:t>
            </w:r>
          </w:p>
        </w:tc>
        <w:tc>
          <w:tcPr>
            <w:tcW w:w="62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0,003</w:t>
            </w:r>
          </w:p>
        </w:tc>
        <w:tc>
          <w:tcPr>
            <w:tcW w:w="70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-0,031***</w:t>
            </w:r>
          </w:p>
        </w:tc>
      </w:tr>
      <w:tr w:rsidR="00C2622B" w:rsidRPr="002C7F50" w:rsidTr="00BA7C9C">
        <w:trPr>
          <w:trHeight w:val="362"/>
        </w:trPr>
        <w:tc>
          <w:tcPr>
            <w:tcW w:w="0" w:type="auto"/>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(0,005)</w:t>
            </w:r>
          </w:p>
        </w:tc>
        <w:tc>
          <w:tcPr>
            <w:tcW w:w="58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(0,009)</w:t>
            </w:r>
          </w:p>
        </w:tc>
        <w:tc>
          <w:tcPr>
            <w:tcW w:w="71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(0,019)</w:t>
            </w: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(0,004)</w:t>
            </w:r>
          </w:p>
        </w:tc>
        <w:tc>
          <w:tcPr>
            <w:tcW w:w="62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(0,007)</w:t>
            </w:r>
          </w:p>
        </w:tc>
        <w:tc>
          <w:tcPr>
            <w:tcW w:w="70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i/>
                <w:sz w:val="24"/>
                <w:szCs w:val="24"/>
              </w:rPr>
              <w:t>(0,017)</w:t>
            </w:r>
          </w:p>
        </w:tc>
      </w:tr>
      <w:tr w:rsidR="00C2622B" w:rsidRPr="002C7F50" w:rsidTr="00BA7C9C">
        <w:trPr>
          <w:trHeight w:val="346"/>
        </w:trPr>
        <w:tc>
          <w:tcPr>
            <w:tcW w:w="1167" w:type="pct"/>
            <w:vMerge w:val="restart"/>
            <w:tcBorders>
              <w:top w:val="single" w:sz="4" w:space="0" w:color="auto"/>
              <w:left w:val="nil"/>
              <w:bottom w:val="single" w:sz="4" w:space="0" w:color="auto"/>
              <w:right w:val="nil"/>
            </w:tcBorders>
            <w:vAlign w:val="center"/>
            <w:hideMark/>
          </w:tcPr>
          <w:p w:rsidR="00C2622B" w:rsidRPr="002C7F50" w:rsidRDefault="00C2622B" w:rsidP="00C2622B">
            <w:pPr>
              <w:jc w:val="center"/>
              <w:rPr>
                <w:rFonts w:ascii="Garamond" w:hAnsi="Garamond"/>
                <w:i/>
                <w:iCs/>
                <w:sz w:val="24"/>
                <w:szCs w:val="24"/>
              </w:rPr>
            </w:pPr>
            <w:proofErr w:type="spellStart"/>
            <w:r w:rsidRPr="002C7F50">
              <w:rPr>
                <w:rFonts w:ascii="Garamond" w:hAnsi="Garamond"/>
                <w:i/>
                <w:iCs/>
                <w:sz w:val="24"/>
                <w:szCs w:val="24"/>
              </w:rPr>
              <w:t>Dpolos</w:t>
            </w:r>
            <w:proofErr w:type="spellEnd"/>
            <w:r w:rsidRPr="002C7F50">
              <w:rPr>
                <w:rFonts w:ascii="Garamond" w:hAnsi="Garamond"/>
                <w:i/>
                <w:iCs/>
                <w:sz w:val="24"/>
                <w:szCs w:val="24"/>
              </w:rPr>
              <w:t>*</w:t>
            </w:r>
            <w:proofErr w:type="spellStart"/>
            <w:r w:rsidRPr="002C7F50">
              <w:rPr>
                <w:rFonts w:ascii="Garamond" w:hAnsi="Garamond"/>
                <w:i/>
                <w:iCs/>
                <w:sz w:val="24"/>
                <w:szCs w:val="24"/>
              </w:rPr>
              <w:t>Z</w:t>
            </w:r>
            <w:r w:rsidRPr="002C7F50">
              <w:rPr>
                <w:rFonts w:ascii="Garamond" w:hAnsi="Garamond"/>
                <w:i/>
                <w:iCs/>
                <w:sz w:val="24"/>
                <w:szCs w:val="24"/>
                <w:vertAlign w:val="subscript"/>
              </w:rPr>
              <w:t>it</w:t>
            </w:r>
            <w:proofErr w:type="spellEnd"/>
          </w:p>
        </w:tc>
        <w:tc>
          <w:tcPr>
            <w:tcW w:w="50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0,173</w:t>
            </w:r>
          </w:p>
        </w:tc>
        <w:tc>
          <w:tcPr>
            <w:tcW w:w="58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-0,231</w:t>
            </w:r>
          </w:p>
        </w:tc>
        <w:tc>
          <w:tcPr>
            <w:tcW w:w="71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 xml:space="preserve">    2,216**</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0,209</w:t>
            </w:r>
          </w:p>
        </w:tc>
        <w:tc>
          <w:tcPr>
            <w:tcW w:w="62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-0,248</w:t>
            </w:r>
          </w:p>
        </w:tc>
        <w:tc>
          <w:tcPr>
            <w:tcW w:w="70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3,505*</w:t>
            </w:r>
          </w:p>
        </w:tc>
      </w:tr>
      <w:tr w:rsidR="00C2622B" w:rsidRPr="002C7F50" w:rsidTr="00BA7C9C">
        <w:trPr>
          <w:trHeight w:val="362"/>
        </w:trPr>
        <w:tc>
          <w:tcPr>
            <w:tcW w:w="0" w:type="auto"/>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(0,326)</w:t>
            </w:r>
          </w:p>
        </w:tc>
        <w:tc>
          <w:tcPr>
            <w:tcW w:w="58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(0,600)</w:t>
            </w:r>
          </w:p>
        </w:tc>
        <w:tc>
          <w:tcPr>
            <w:tcW w:w="71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(0,850)</w:t>
            </w: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(0,464)</w:t>
            </w:r>
          </w:p>
        </w:tc>
        <w:tc>
          <w:tcPr>
            <w:tcW w:w="62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(0,896)</w:t>
            </w:r>
          </w:p>
        </w:tc>
        <w:tc>
          <w:tcPr>
            <w:tcW w:w="70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i/>
                <w:sz w:val="24"/>
                <w:szCs w:val="24"/>
              </w:rPr>
              <w:t>(1,254)</w:t>
            </w:r>
          </w:p>
        </w:tc>
      </w:tr>
      <w:tr w:rsidR="00C2622B" w:rsidRPr="002C7F50" w:rsidTr="00BA7C9C">
        <w:trPr>
          <w:trHeight w:val="346"/>
        </w:trPr>
        <w:tc>
          <w:tcPr>
            <w:tcW w:w="1167" w:type="pct"/>
            <w:vMerge w:val="restart"/>
            <w:tcBorders>
              <w:top w:val="single" w:sz="4" w:space="0" w:color="auto"/>
              <w:left w:val="nil"/>
              <w:bottom w:val="single" w:sz="4" w:space="0" w:color="auto"/>
              <w:right w:val="nil"/>
            </w:tcBorders>
            <w:vAlign w:val="center"/>
            <w:hideMark/>
          </w:tcPr>
          <w:p w:rsidR="00C2622B" w:rsidRPr="002C7F50" w:rsidRDefault="00C2622B" w:rsidP="00C2622B">
            <w:pPr>
              <w:jc w:val="center"/>
              <w:rPr>
                <w:rFonts w:ascii="Garamond" w:hAnsi="Garamond"/>
                <w:i/>
                <w:iCs/>
                <w:sz w:val="24"/>
                <w:szCs w:val="24"/>
              </w:rPr>
            </w:pPr>
            <w:r w:rsidRPr="002C7F50">
              <w:rPr>
                <w:rFonts w:ascii="Garamond" w:hAnsi="Garamond"/>
                <w:i/>
                <w:iCs/>
                <w:sz w:val="24"/>
                <w:szCs w:val="24"/>
              </w:rPr>
              <w:t>Const.</w:t>
            </w:r>
          </w:p>
        </w:tc>
        <w:tc>
          <w:tcPr>
            <w:tcW w:w="50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0,410*</w:t>
            </w:r>
          </w:p>
        </w:tc>
        <w:tc>
          <w:tcPr>
            <w:tcW w:w="58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0,975*</w:t>
            </w:r>
          </w:p>
        </w:tc>
        <w:tc>
          <w:tcPr>
            <w:tcW w:w="714"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 xml:space="preserve">  0,732*</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0,377</w:t>
            </w:r>
          </w:p>
        </w:tc>
        <w:tc>
          <w:tcPr>
            <w:tcW w:w="62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0,857</w:t>
            </w:r>
          </w:p>
        </w:tc>
        <w:tc>
          <w:tcPr>
            <w:tcW w:w="700"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0,817*</w:t>
            </w:r>
          </w:p>
        </w:tc>
      </w:tr>
      <w:tr w:rsidR="00C2622B" w:rsidRPr="002C7F50" w:rsidTr="00BA7C9C">
        <w:trPr>
          <w:trHeight w:val="346"/>
        </w:trPr>
        <w:tc>
          <w:tcPr>
            <w:tcW w:w="0" w:type="auto"/>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(0,098)</w:t>
            </w:r>
          </w:p>
        </w:tc>
        <w:tc>
          <w:tcPr>
            <w:tcW w:w="58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(0,165)</w:t>
            </w:r>
          </w:p>
        </w:tc>
        <w:tc>
          <w:tcPr>
            <w:tcW w:w="714"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(0,237)</w:t>
            </w: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(0,073)</w:t>
            </w:r>
          </w:p>
        </w:tc>
        <w:tc>
          <w:tcPr>
            <w:tcW w:w="62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highlight w:val="yellow"/>
              </w:rPr>
            </w:pPr>
            <w:r w:rsidRPr="002C7F50">
              <w:rPr>
                <w:rFonts w:ascii="Garamond" w:hAnsi="Garamond"/>
                <w:sz w:val="24"/>
                <w:szCs w:val="24"/>
                <w:highlight w:val="yellow"/>
              </w:rPr>
              <w:t>(0,131)</w:t>
            </w:r>
          </w:p>
        </w:tc>
        <w:tc>
          <w:tcPr>
            <w:tcW w:w="700"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i/>
                <w:sz w:val="24"/>
                <w:szCs w:val="24"/>
              </w:rPr>
              <w:t>(0,249)</w:t>
            </w:r>
          </w:p>
        </w:tc>
      </w:tr>
      <w:tr w:rsidR="00C2622B" w:rsidRPr="002C7F50" w:rsidTr="00BA7C9C">
        <w:trPr>
          <w:trHeight w:val="331"/>
        </w:trPr>
        <w:tc>
          <w:tcPr>
            <w:tcW w:w="2966" w:type="pct"/>
            <w:gridSpan w:val="4"/>
            <w:vMerge w:val="restart"/>
            <w:tcBorders>
              <w:top w:val="single" w:sz="4" w:space="0" w:color="auto"/>
              <w:left w:val="nil"/>
              <w:bottom w:val="single" w:sz="4" w:space="0" w:color="auto"/>
              <w:right w:val="nil"/>
            </w:tcBorders>
            <w:vAlign w:val="center"/>
            <w:hideMark/>
          </w:tcPr>
          <w:p w:rsidR="00C2622B" w:rsidRPr="002C7F50" w:rsidRDefault="00C2622B" w:rsidP="00C2622B">
            <w:pPr>
              <w:rPr>
                <w:rFonts w:ascii="Garamond" w:hAnsi="Garamond"/>
                <w:sz w:val="24"/>
                <w:szCs w:val="24"/>
              </w:rPr>
            </w:pPr>
            <w:r w:rsidRPr="002C7F50">
              <w:rPr>
                <w:rFonts w:ascii="Garamond" w:hAnsi="Garamond"/>
                <w:i/>
                <w:iCs/>
                <w:sz w:val="24"/>
                <w:szCs w:val="24"/>
              </w:rPr>
              <w:t>H</w:t>
            </w:r>
            <w:r w:rsidRPr="002C7F50">
              <w:rPr>
                <w:rFonts w:ascii="Garamond" w:hAnsi="Garamond"/>
                <w:i/>
                <w:iCs/>
                <w:sz w:val="24"/>
                <w:szCs w:val="24"/>
                <w:vertAlign w:val="subscript"/>
              </w:rPr>
              <w:t>0</w:t>
            </w:r>
            <w:r w:rsidRPr="002C7F50">
              <w:rPr>
                <w:rFonts w:ascii="Garamond" w:hAnsi="Garamond"/>
                <w:sz w:val="24"/>
                <w:szCs w:val="24"/>
              </w:rPr>
              <w:t xml:space="preserve">: Ausência de </w:t>
            </w:r>
            <w:proofErr w:type="spellStart"/>
            <w:r w:rsidRPr="002C7F50">
              <w:rPr>
                <w:rFonts w:ascii="Garamond" w:hAnsi="Garamond"/>
                <w:sz w:val="24"/>
                <w:szCs w:val="24"/>
              </w:rPr>
              <w:t>autocorrelação</w:t>
            </w:r>
            <w:proofErr w:type="spellEnd"/>
            <w:r w:rsidRPr="002C7F50">
              <w:rPr>
                <w:rFonts w:ascii="Garamond" w:hAnsi="Garamond"/>
                <w:sz w:val="24"/>
                <w:szCs w:val="24"/>
              </w:rPr>
              <w:t xml:space="preserve"> nos resíduos de primeira ordem (System-GMM)</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0,008</w:t>
            </w:r>
          </w:p>
        </w:tc>
      </w:tr>
      <w:tr w:rsidR="00C2622B" w:rsidRPr="002C7F50" w:rsidTr="00C2622B">
        <w:trPr>
          <w:trHeight w:val="315"/>
        </w:trPr>
        <w:tc>
          <w:tcPr>
            <w:tcW w:w="0" w:type="auto"/>
            <w:gridSpan w:val="4"/>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0,00</w:t>
            </w:r>
          </w:p>
        </w:tc>
      </w:tr>
      <w:tr w:rsidR="00C2622B" w:rsidRPr="002C7F50" w:rsidTr="00BA7C9C">
        <w:trPr>
          <w:trHeight w:val="315"/>
        </w:trPr>
        <w:tc>
          <w:tcPr>
            <w:tcW w:w="2966" w:type="pct"/>
            <w:gridSpan w:val="4"/>
            <w:vMerge w:val="restart"/>
            <w:tcBorders>
              <w:top w:val="single" w:sz="4" w:space="0" w:color="auto"/>
              <w:left w:val="nil"/>
              <w:bottom w:val="single" w:sz="4" w:space="0" w:color="auto"/>
              <w:right w:val="nil"/>
            </w:tcBorders>
            <w:vAlign w:val="center"/>
            <w:hideMark/>
          </w:tcPr>
          <w:p w:rsidR="00C2622B" w:rsidRPr="002C7F50" w:rsidRDefault="00C2622B" w:rsidP="00C2622B">
            <w:pPr>
              <w:rPr>
                <w:rFonts w:ascii="Garamond" w:hAnsi="Garamond"/>
                <w:sz w:val="24"/>
                <w:szCs w:val="24"/>
              </w:rPr>
            </w:pPr>
            <w:r w:rsidRPr="002C7F50">
              <w:rPr>
                <w:rFonts w:ascii="Garamond" w:hAnsi="Garamond"/>
                <w:i/>
                <w:iCs/>
                <w:sz w:val="24"/>
                <w:szCs w:val="24"/>
              </w:rPr>
              <w:t>H</w:t>
            </w:r>
            <w:r w:rsidRPr="002C7F50">
              <w:rPr>
                <w:rFonts w:ascii="Garamond" w:hAnsi="Garamond"/>
                <w:i/>
                <w:iCs/>
                <w:sz w:val="24"/>
                <w:szCs w:val="24"/>
                <w:vertAlign w:val="subscript"/>
              </w:rPr>
              <w:t>0</w:t>
            </w:r>
            <w:r w:rsidRPr="002C7F50">
              <w:rPr>
                <w:rFonts w:ascii="Garamond" w:hAnsi="Garamond"/>
                <w:sz w:val="24"/>
                <w:szCs w:val="24"/>
              </w:rPr>
              <w:t xml:space="preserve">: Ausência de </w:t>
            </w:r>
            <w:proofErr w:type="spellStart"/>
            <w:r w:rsidRPr="002C7F50">
              <w:rPr>
                <w:rFonts w:ascii="Garamond" w:hAnsi="Garamond"/>
                <w:sz w:val="24"/>
                <w:szCs w:val="24"/>
              </w:rPr>
              <w:t>autocorrelação</w:t>
            </w:r>
            <w:proofErr w:type="spellEnd"/>
            <w:r w:rsidRPr="002C7F50">
              <w:rPr>
                <w:rFonts w:ascii="Garamond" w:hAnsi="Garamond"/>
                <w:sz w:val="24"/>
                <w:szCs w:val="24"/>
              </w:rPr>
              <w:t xml:space="preserve"> nos resíduos de segunda ordem (System-GMM)</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0,467</w:t>
            </w:r>
          </w:p>
        </w:tc>
      </w:tr>
      <w:tr w:rsidR="00C2622B" w:rsidRPr="002C7F50" w:rsidTr="00C2622B">
        <w:trPr>
          <w:trHeight w:val="698"/>
        </w:trPr>
        <w:tc>
          <w:tcPr>
            <w:tcW w:w="0" w:type="auto"/>
            <w:gridSpan w:val="4"/>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0,480</w:t>
            </w:r>
          </w:p>
        </w:tc>
      </w:tr>
      <w:tr w:rsidR="00C2622B" w:rsidRPr="002C7F50" w:rsidTr="00BA7C9C">
        <w:trPr>
          <w:trHeight w:val="315"/>
        </w:trPr>
        <w:tc>
          <w:tcPr>
            <w:tcW w:w="2966" w:type="pct"/>
            <w:gridSpan w:val="4"/>
            <w:vMerge w:val="restart"/>
            <w:tcBorders>
              <w:top w:val="single" w:sz="4" w:space="0" w:color="auto"/>
              <w:left w:val="nil"/>
              <w:bottom w:val="single" w:sz="4" w:space="0" w:color="auto"/>
              <w:right w:val="nil"/>
            </w:tcBorders>
            <w:vAlign w:val="center"/>
            <w:hideMark/>
          </w:tcPr>
          <w:p w:rsidR="00C2622B" w:rsidRPr="002C7F50" w:rsidRDefault="00C2622B" w:rsidP="00C2622B">
            <w:pPr>
              <w:rPr>
                <w:rFonts w:ascii="Garamond" w:hAnsi="Garamond"/>
                <w:sz w:val="24"/>
                <w:szCs w:val="24"/>
              </w:rPr>
            </w:pPr>
            <w:r w:rsidRPr="002C7F50">
              <w:rPr>
                <w:rFonts w:ascii="Garamond" w:hAnsi="Garamond"/>
                <w:sz w:val="24"/>
                <w:szCs w:val="24"/>
              </w:rPr>
              <w:t xml:space="preserve">Teste de </w:t>
            </w:r>
            <w:proofErr w:type="spellStart"/>
            <w:r w:rsidRPr="002C7F50">
              <w:rPr>
                <w:rFonts w:ascii="Garamond" w:hAnsi="Garamond"/>
                <w:sz w:val="24"/>
                <w:szCs w:val="24"/>
              </w:rPr>
              <w:t>Sargan</w:t>
            </w:r>
            <w:proofErr w:type="spellEnd"/>
            <w:r w:rsidRPr="002C7F50">
              <w:rPr>
                <w:rFonts w:ascii="Garamond" w:hAnsi="Garamond"/>
                <w:sz w:val="24"/>
                <w:szCs w:val="24"/>
              </w:rPr>
              <w:t xml:space="preserve"> (System-GMM)</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0,248</w:t>
            </w:r>
          </w:p>
        </w:tc>
      </w:tr>
      <w:tr w:rsidR="00C2622B" w:rsidRPr="002C7F50" w:rsidTr="00C2622B">
        <w:trPr>
          <w:trHeight w:val="315"/>
        </w:trPr>
        <w:tc>
          <w:tcPr>
            <w:tcW w:w="0" w:type="auto"/>
            <w:gridSpan w:val="4"/>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0,776</w:t>
            </w:r>
          </w:p>
        </w:tc>
      </w:tr>
      <w:tr w:rsidR="00C2622B" w:rsidRPr="002C7F50" w:rsidTr="00BA7C9C">
        <w:trPr>
          <w:trHeight w:val="331"/>
        </w:trPr>
        <w:tc>
          <w:tcPr>
            <w:tcW w:w="2966" w:type="pct"/>
            <w:gridSpan w:val="4"/>
            <w:vMerge w:val="restart"/>
            <w:tcBorders>
              <w:top w:val="single" w:sz="4" w:space="0" w:color="auto"/>
              <w:left w:val="nil"/>
              <w:bottom w:val="single" w:sz="4" w:space="0" w:color="auto"/>
              <w:right w:val="nil"/>
            </w:tcBorders>
            <w:vAlign w:val="center"/>
            <w:hideMark/>
          </w:tcPr>
          <w:p w:rsidR="00C2622B" w:rsidRPr="002C7F50" w:rsidRDefault="00C2622B" w:rsidP="00C2622B">
            <w:pPr>
              <w:rPr>
                <w:rFonts w:ascii="Garamond" w:hAnsi="Garamond"/>
                <w:sz w:val="24"/>
                <w:szCs w:val="24"/>
              </w:rPr>
            </w:pPr>
            <w:r w:rsidRPr="002C7F50">
              <w:rPr>
                <w:rFonts w:ascii="Garamond" w:hAnsi="Garamond"/>
                <w:sz w:val="24"/>
                <w:szCs w:val="24"/>
              </w:rPr>
              <w:t>Teste de Hansen (System-GMM)</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0,486</w:t>
            </w:r>
          </w:p>
        </w:tc>
      </w:tr>
      <w:tr w:rsidR="00C2622B" w:rsidRPr="002C7F50" w:rsidTr="00C2622B">
        <w:trPr>
          <w:trHeight w:val="315"/>
        </w:trPr>
        <w:tc>
          <w:tcPr>
            <w:tcW w:w="0" w:type="auto"/>
            <w:gridSpan w:val="4"/>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0,464</w:t>
            </w:r>
          </w:p>
        </w:tc>
      </w:tr>
      <w:tr w:rsidR="00C2622B" w:rsidRPr="002C7F50" w:rsidTr="00BA7C9C">
        <w:trPr>
          <w:trHeight w:val="331"/>
        </w:trPr>
        <w:tc>
          <w:tcPr>
            <w:tcW w:w="2966" w:type="pct"/>
            <w:gridSpan w:val="4"/>
            <w:vMerge w:val="restart"/>
            <w:tcBorders>
              <w:top w:val="single" w:sz="4" w:space="0" w:color="auto"/>
              <w:left w:val="nil"/>
              <w:bottom w:val="single" w:sz="4" w:space="0" w:color="auto"/>
              <w:right w:val="nil"/>
            </w:tcBorders>
            <w:vAlign w:val="center"/>
            <w:hideMark/>
          </w:tcPr>
          <w:p w:rsidR="00C2622B" w:rsidRPr="002C7F50" w:rsidRDefault="00C2622B" w:rsidP="00C2622B">
            <w:pPr>
              <w:rPr>
                <w:rFonts w:ascii="Garamond" w:hAnsi="Garamond"/>
                <w:sz w:val="24"/>
                <w:szCs w:val="24"/>
              </w:rPr>
            </w:pPr>
            <w:r w:rsidRPr="002C7F50">
              <w:rPr>
                <w:rFonts w:ascii="Garamond" w:hAnsi="Garamond"/>
                <w:sz w:val="24"/>
                <w:szCs w:val="24"/>
              </w:rPr>
              <w:t>Teste de Hansen Grupo Excluído (System-GMM)</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0,463</w:t>
            </w:r>
          </w:p>
        </w:tc>
      </w:tr>
      <w:tr w:rsidR="00C2622B" w:rsidRPr="002C7F50" w:rsidTr="00C2622B">
        <w:trPr>
          <w:trHeight w:val="315"/>
        </w:trPr>
        <w:tc>
          <w:tcPr>
            <w:tcW w:w="0" w:type="auto"/>
            <w:gridSpan w:val="4"/>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0,687</w:t>
            </w:r>
          </w:p>
        </w:tc>
      </w:tr>
      <w:tr w:rsidR="00C2622B" w:rsidRPr="002C7F50" w:rsidTr="00BA7C9C">
        <w:trPr>
          <w:trHeight w:val="315"/>
        </w:trPr>
        <w:tc>
          <w:tcPr>
            <w:tcW w:w="2966" w:type="pct"/>
            <w:gridSpan w:val="4"/>
            <w:vMerge w:val="restart"/>
            <w:tcBorders>
              <w:top w:val="single" w:sz="4" w:space="0" w:color="auto"/>
              <w:left w:val="nil"/>
              <w:bottom w:val="single" w:sz="4" w:space="0" w:color="auto"/>
              <w:right w:val="nil"/>
            </w:tcBorders>
            <w:vAlign w:val="center"/>
            <w:hideMark/>
          </w:tcPr>
          <w:p w:rsidR="00C2622B" w:rsidRPr="002C7F50" w:rsidRDefault="00C2622B" w:rsidP="00C2622B">
            <w:pPr>
              <w:rPr>
                <w:rFonts w:ascii="Garamond" w:hAnsi="Garamond"/>
                <w:sz w:val="24"/>
                <w:szCs w:val="24"/>
                <w:lang w:val="en-US"/>
              </w:rPr>
            </w:pPr>
            <w:r w:rsidRPr="002C7F50">
              <w:rPr>
                <w:rFonts w:ascii="Garamond" w:hAnsi="Garamond"/>
                <w:sz w:val="24"/>
                <w:szCs w:val="24"/>
                <w:lang w:val="en-US"/>
              </w:rPr>
              <w:t xml:space="preserve">Teste </w:t>
            </w:r>
            <w:r w:rsidRPr="002C7F50">
              <w:rPr>
                <w:rFonts w:ascii="Garamond" w:hAnsi="Garamond"/>
                <w:i/>
                <w:iCs/>
                <w:sz w:val="24"/>
                <w:szCs w:val="24"/>
                <w:lang w:val="en-US"/>
              </w:rPr>
              <w:t>Difference</w:t>
            </w:r>
            <w:r w:rsidRPr="002C7F50">
              <w:rPr>
                <w:rFonts w:ascii="Garamond" w:hAnsi="Garamond"/>
                <w:sz w:val="24"/>
                <w:szCs w:val="24"/>
                <w:lang w:val="en-US"/>
              </w:rPr>
              <w:t>-Hansen (System-GMM)</w:t>
            </w:r>
          </w:p>
        </w:tc>
        <w:tc>
          <w:tcPr>
            <w:tcW w:w="715" w:type="pct"/>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0,564</w:t>
            </w:r>
          </w:p>
        </w:tc>
      </w:tr>
      <w:tr w:rsidR="00C2622B" w:rsidRPr="002C7F50" w:rsidTr="00C2622B">
        <w:trPr>
          <w:trHeight w:val="724"/>
        </w:trPr>
        <w:tc>
          <w:tcPr>
            <w:tcW w:w="0" w:type="auto"/>
            <w:gridSpan w:val="4"/>
            <w:vMerge/>
            <w:tcBorders>
              <w:top w:val="single" w:sz="4" w:space="0" w:color="auto"/>
              <w:left w:val="nil"/>
              <w:bottom w:val="single" w:sz="4" w:space="0" w:color="auto"/>
              <w:right w:val="nil"/>
            </w:tcBorders>
            <w:vAlign w:val="center"/>
            <w:hideMark/>
          </w:tcPr>
          <w:p w:rsidR="00C2622B" w:rsidRPr="002C7F50" w:rsidRDefault="00C2622B" w:rsidP="00C2622B">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C2622B" w:rsidRPr="002C7F50" w:rsidRDefault="00C2622B" w:rsidP="00C2622B">
            <w:pPr>
              <w:jc w:val="center"/>
              <w:rPr>
                <w:rFonts w:ascii="Garamond" w:hAnsi="Garamond"/>
                <w:sz w:val="24"/>
                <w:szCs w:val="24"/>
              </w:rPr>
            </w:pPr>
            <w:r w:rsidRPr="002C7F50">
              <w:rPr>
                <w:rFonts w:ascii="Garamond" w:hAnsi="Garamond"/>
                <w:sz w:val="24"/>
                <w:szCs w:val="24"/>
              </w:rPr>
              <w:t>0,157</w:t>
            </w:r>
          </w:p>
        </w:tc>
      </w:tr>
      <w:tr w:rsidR="00C2622B" w:rsidRPr="002C7F50" w:rsidTr="00C2622B">
        <w:trPr>
          <w:trHeight w:val="2035"/>
        </w:trPr>
        <w:tc>
          <w:tcPr>
            <w:tcW w:w="5000" w:type="pct"/>
            <w:gridSpan w:val="7"/>
            <w:tcBorders>
              <w:top w:val="single" w:sz="4" w:space="0" w:color="auto"/>
              <w:left w:val="nil"/>
              <w:bottom w:val="nil"/>
              <w:right w:val="nil"/>
            </w:tcBorders>
            <w:vAlign w:val="center"/>
          </w:tcPr>
          <w:p w:rsidR="00C2622B" w:rsidRPr="002C7F50" w:rsidRDefault="00C2622B" w:rsidP="00C2622B">
            <w:pPr>
              <w:pStyle w:val="Default"/>
              <w:jc w:val="both"/>
              <w:rPr>
                <w:rFonts w:ascii="Garamond" w:hAnsi="Garamond"/>
                <w:color w:val="auto"/>
              </w:rPr>
            </w:pPr>
            <w:r w:rsidRPr="002C7F50">
              <w:rPr>
                <w:rFonts w:ascii="Garamond" w:hAnsi="Garamond"/>
                <w:color w:val="auto"/>
              </w:rPr>
              <w:t xml:space="preserve">Fonte: Elaborado pelos autores. Obs.: (i) Os valores em parênteses são os erros padrão. No caso do System-GMM, esses erros foram corrigidos para amostras finitas pelo método de </w:t>
            </w:r>
            <w:proofErr w:type="spellStart"/>
            <w:r w:rsidRPr="002C7F50">
              <w:rPr>
                <w:rFonts w:ascii="Garamond" w:hAnsi="Garamond"/>
                <w:color w:val="auto"/>
              </w:rPr>
              <w:t>Windmeijer</w:t>
            </w:r>
            <w:proofErr w:type="spellEnd"/>
            <w:r w:rsidRPr="002C7F50">
              <w:rPr>
                <w:rFonts w:ascii="Garamond" w:hAnsi="Garamond"/>
                <w:color w:val="auto"/>
              </w:rPr>
              <w:t xml:space="preserve"> (2005); (</w:t>
            </w:r>
            <w:proofErr w:type="spellStart"/>
            <w:r w:rsidRPr="002C7F50">
              <w:rPr>
                <w:rFonts w:ascii="Garamond" w:hAnsi="Garamond"/>
                <w:color w:val="auto"/>
              </w:rPr>
              <w:t>ii</w:t>
            </w:r>
            <w:proofErr w:type="spellEnd"/>
            <w:r w:rsidRPr="002C7F50">
              <w:rPr>
                <w:rFonts w:ascii="Garamond" w:hAnsi="Garamond"/>
                <w:color w:val="auto"/>
              </w:rPr>
              <w:t>) Os valores para os testes de Hansen são os p-valores para a hipótese nula de que os instrumentos são válidos; (</w:t>
            </w:r>
            <w:proofErr w:type="spellStart"/>
            <w:r w:rsidRPr="002C7F50">
              <w:rPr>
                <w:rFonts w:ascii="Garamond" w:hAnsi="Garamond"/>
                <w:color w:val="auto"/>
              </w:rPr>
              <w:t>iii</w:t>
            </w:r>
            <w:proofErr w:type="spellEnd"/>
            <w:r w:rsidRPr="002C7F50">
              <w:rPr>
                <w:rFonts w:ascii="Garamond" w:hAnsi="Garamond"/>
                <w:color w:val="auto"/>
              </w:rPr>
              <w:t xml:space="preserve">) Utilizaram-se como instrumentos no </w:t>
            </w:r>
            <w:r w:rsidRPr="002C7F50">
              <w:rPr>
                <w:rFonts w:ascii="Garamond" w:hAnsi="Garamond"/>
                <w:i/>
                <w:iCs/>
                <w:color w:val="auto"/>
              </w:rPr>
              <w:t xml:space="preserve">System-GMM </w:t>
            </w:r>
            <w:r w:rsidRPr="002C7F50">
              <w:rPr>
                <w:rFonts w:ascii="Garamond" w:hAnsi="Garamond"/>
                <w:color w:val="auto"/>
              </w:rPr>
              <w:t>as variáveis explicativas em diferenças defasadas e variáveis explicativas em nível defasadas; (</w:t>
            </w:r>
            <w:proofErr w:type="spellStart"/>
            <w:r w:rsidRPr="002C7F50">
              <w:rPr>
                <w:rFonts w:ascii="Garamond" w:hAnsi="Garamond"/>
                <w:color w:val="auto"/>
              </w:rPr>
              <w:t>iv</w:t>
            </w:r>
            <w:proofErr w:type="spellEnd"/>
            <w:r w:rsidRPr="002C7F50">
              <w:rPr>
                <w:rFonts w:ascii="Garamond" w:hAnsi="Garamond"/>
                <w:color w:val="auto"/>
              </w:rPr>
              <w:t xml:space="preserve">) Hipótese Nula do teste </w:t>
            </w:r>
            <w:proofErr w:type="spellStart"/>
            <w:r w:rsidRPr="002C7F50">
              <w:rPr>
                <w:rFonts w:ascii="Garamond" w:hAnsi="Garamond"/>
                <w:i/>
                <w:iCs/>
                <w:color w:val="auto"/>
              </w:rPr>
              <w:t>Difference</w:t>
            </w:r>
            <w:proofErr w:type="spellEnd"/>
            <w:r w:rsidRPr="002C7F50">
              <w:rPr>
                <w:rFonts w:ascii="Garamond" w:hAnsi="Garamond"/>
                <w:color w:val="auto"/>
              </w:rPr>
              <w:t xml:space="preserve">-Hansen: </w:t>
            </w:r>
            <w:proofErr w:type="spellStart"/>
            <w:r w:rsidRPr="002C7F50">
              <w:rPr>
                <w:rFonts w:ascii="Garamond" w:hAnsi="Garamond"/>
                <w:color w:val="auto"/>
              </w:rPr>
              <w:t>Exogeneidade</w:t>
            </w:r>
            <w:proofErr w:type="spellEnd"/>
            <w:r w:rsidRPr="002C7F50">
              <w:rPr>
                <w:rFonts w:ascii="Garamond" w:hAnsi="Garamond"/>
                <w:color w:val="auto"/>
              </w:rPr>
              <w:t xml:space="preserve"> dos instrumentos utilizados; (v) Foram consideradas endógenas na estimação do </w:t>
            </w:r>
            <w:r w:rsidRPr="002C7F50">
              <w:rPr>
                <w:rFonts w:ascii="Garamond" w:hAnsi="Garamond"/>
                <w:i/>
                <w:iCs/>
                <w:color w:val="auto"/>
              </w:rPr>
              <w:t xml:space="preserve">System-GMM </w:t>
            </w:r>
            <w:r w:rsidRPr="002C7F50">
              <w:rPr>
                <w:rFonts w:ascii="Garamond" w:hAnsi="Garamond"/>
                <w:color w:val="auto"/>
              </w:rPr>
              <w:t xml:space="preserve">as variáveis de </w:t>
            </w:r>
            <w:proofErr w:type="spellStart"/>
            <w:proofErr w:type="gramStart"/>
            <w:r w:rsidRPr="002C7F50">
              <w:rPr>
                <w:rFonts w:ascii="Garamond" w:hAnsi="Garamond"/>
                <w:i/>
                <w:color w:val="auto"/>
              </w:rPr>
              <w:t>PIBpc</w:t>
            </w:r>
            <w:proofErr w:type="spellEnd"/>
            <w:proofErr w:type="gramEnd"/>
            <w:r w:rsidRPr="002C7F50">
              <w:rPr>
                <w:rFonts w:ascii="Garamond" w:hAnsi="Garamond"/>
                <w:color w:val="auto"/>
              </w:rPr>
              <w:t>, capital humano e abertura comercial. Notas: * significante ao nível de 1%.** significante ao nível de 5%.*** significante ao nível de 10%.</w:t>
            </w:r>
          </w:p>
          <w:p w:rsidR="00C2622B" w:rsidRPr="002C7F50" w:rsidRDefault="00C2622B" w:rsidP="00C2622B">
            <w:pPr>
              <w:ind w:firstLine="708"/>
              <w:jc w:val="both"/>
              <w:rPr>
                <w:rFonts w:ascii="Garamond" w:hAnsi="Garamond"/>
                <w:sz w:val="24"/>
                <w:szCs w:val="24"/>
              </w:rPr>
            </w:pPr>
          </w:p>
        </w:tc>
      </w:tr>
    </w:tbl>
    <w:p w:rsidR="00310943" w:rsidRPr="002C7F50" w:rsidRDefault="00310943" w:rsidP="00310943">
      <w:pPr>
        <w:spacing w:after="0"/>
        <w:jc w:val="both"/>
        <w:rPr>
          <w:rFonts w:ascii="Garamond" w:eastAsia="Times New Roman" w:hAnsi="Garamond"/>
          <w:b/>
          <w:sz w:val="24"/>
          <w:szCs w:val="24"/>
          <w:lang w:eastAsia="pt-BR"/>
        </w:rPr>
      </w:pPr>
      <w:proofErr w:type="spellStart"/>
      <w:r w:rsidRPr="002C7F50">
        <w:rPr>
          <w:rFonts w:ascii="Garamond" w:eastAsia="Times New Roman" w:hAnsi="Garamond"/>
          <w:b/>
          <w:sz w:val="24"/>
          <w:szCs w:val="24"/>
          <w:lang w:eastAsia="pt-BR"/>
        </w:rPr>
        <w:t>Parecerista</w:t>
      </w:r>
      <w:proofErr w:type="spellEnd"/>
      <w:r w:rsidRPr="002C7F50">
        <w:rPr>
          <w:rFonts w:ascii="Garamond" w:eastAsia="Times New Roman" w:hAnsi="Garamond"/>
          <w:b/>
          <w:sz w:val="24"/>
          <w:szCs w:val="24"/>
          <w:lang w:eastAsia="pt-BR"/>
        </w:rPr>
        <w:t xml:space="preserve"> B:</w:t>
      </w:r>
    </w:p>
    <w:p w:rsidR="00310943" w:rsidRPr="002C7F50" w:rsidRDefault="00310943" w:rsidP="00310943">
      <w:pPr>
        <w:spacing w:after="0"/>
        <w:jc w:val="both"/>
        <w:rPr>
          <w:rFonts w:ascii="Garamond" w:eastAsia="Times New Roman" w:hAnsi="Garamond"/>
          <w:sz w:val="24"/>
          <w:szCs w:val="24"/>
          <w:lang w:eastAsia="pt-BR"/>
        </w:rPr>
      </w:pPr>
    </w:p>
    <w:p w:rsidR="00844293" w:rsidRPr="002C7F50" w:rsidRDefault="003A1BD5"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 xml:space="preserve">1 - </w:t>
      </w:r>
      <w:r w:rsidR="00310943" w:rsidRPr="002C7F50">
        <w:rPr>
          <w:rFonts w:ascii="Garamond" w:eastAsia="Times New Roman" w:hAnsi="Garamond"/>
          <w:sz w:val="24"/>
          <w:szCs w:val="24"/>
          <w:lang w:eastAsia="pt-BR"/>
        </w:rPr>
        <w:t xml:space="preserve">O primeiro, e </w:t>
      </w:r>
      <w:proofErr w:type="gramStart"/>
      <w:r w:rsidR="00310943" w:rsidRPr="002C7F50">
        <w:rPr>
          <w:rFonts w:ascii="Garamond" w:eastAsia="Times New Roman" w:hAnsi="Garamond"/>
          <w:sz w:val="24"/>
          <w:szCs w:val="24"/>
          <w:lang w:eastAsia="pt-BR"/>
        </w:rPr>
        <w:t>acredito,</w:t>
      </w:r>
      <w:proofErr w:type="gramEnd"/>
      <w:r w:rsidR="00310943" w:rsidRPr="002C7F50">
        <w:rPr>
          <w:rFonts w:ascii="Garamond" w:eastAsia="Times New Roman" w:hAnsi="Garamond"/>
          <w:sz w:val="24"/>
          <w:szCs w:val="24"/>
          <w:lang w:eastAsia="pt-BR"/>
        </w:rPr>
        <w:t xml:space="preserve"> principal objetivo dos autores está bem posicionado na discussão da literatura, embora a revisão sugira que a maior parte dos estudos indicam efeitos positivos da abertura comercial sobre crescimento. Contudo, a condução do texto, bem como o próprio título, gera a expectativa de que o estudo será realizado para avaliar os efeitos da abertura comercial iniciada ainda ao final dos anos oitenta (algo próximo a um estudo de caso, análise de choque agregado, </w:t>
      </w:r>
      <w:proofErr w:type="spellStart"/>
      <w:r w:rsidR="00310943" w:rsidRPr="002C7F50">
        <w:rPr>
          <w:rFonts w:ascii="Garamond" w:eastAsia="Times New Roman" w:hAnsi="Garamond"/>
          <w:sz w:val="24"/>
          <w:szCs w:val="24"/>
          <w:lang w:eastAsia="pt-BR"/>
        </w:rPr>
        <w:t>etc</w:t>
      </w:r>
      <w:proofErr w:type="spellEnd"/>
      <w:r w:rsidR="00310943" w:rsidRPr="002C7F50">
        <w:rPr>
          <w:rFonts w:ascii="Garamond" w:eastAsia="Times New Roman" w:hAnsi="Garamond"/>
          <w:sz w:val="24"/>
          <w:szCs w:val="24"/>
          <w:lang w:eastAsia="pt-BR"/>
        </w:rPr>
        <w:t xml:space="preserve">), quando na verdade o que a especificação econométrica adotada permite é </w:t>
      </w:r>
      <w:r w:rsidR="00310943" w:rsidRPr="002C7F50">
        <w:rPr>
          <w:rFonts w:ascii="Garamond" w:eastAsia="Times New Roman" w:hAnsi="Garamond"/>
          <w:sz w:val="24"/>
          <w:szCs w:val="24"/>
          <w:lang w:eastAsia="pt-BR"/>
        </w:rPr>
        <w:lastRenderedPageBreak/>
        <w:t>avaliar o papel do grau de abertura comercial sobre a renda per capita, o que pode ser feito para qualquer período que tenha dados disponíveis. Deveria estar claro tanto no texto quanto no título que o objetivo é avaliar o papel do grau de abertura comercial sobre a renda per capita em um período em que a economia brasileira experimentou uma maior participação na economia mundial em relação ao seu histórico no século XX.</w:t>
      </w:r>
    </w:p>
    <w:p w:rsidR="00844293" w:rsidRPr="002C7F50" w:rsidRDefault="00844293" w:rsidP="00310943">
      <w:pPr>
        <w:spacing w:after="0"/>
        <w:jc w:val="both"/>
        <w:rPr>
          <w:rFonts w:ascii="Garamond" w:eastAsia="Times New Roman" w:hAnsi="Garamond"/>
          <w:sz w:val="24"/>
          <w:szCs w:val="24"/>
          <w:lang w:eastAsia="pt-BR"/>
        </w:rPr>
      </w:pPr>
    </w:p>
    <w:p w:rsidR="00844293" w:rsidRPr="002C7F50" w:rsidRDefault="00844293" w:rsidP="00310943">
      <w:pPr>
        <w:spacing w:after="0"/>
        <w:jc w:val="both"/>
        <w:rPr>
          <w:rFonts w:ascii="Garamond" w:hAnsi="Garamond"/>
          <w:i/>
          <w:sz w:val="24"/>
          <w:szCs w:val="24"/>
        </w:rPr>
      </w:pPr>
      <w:r w:rsidRPr="002C7F50">
        <w:rPr>
          <w:rFonts w:ascii="Garamond" w:hAnsi="Garamond"/>
          <w:i/>
          <w:sz w:val="24"/>
          <w:szCs w:val="24"/>
        </w:rPr>
        <w:t>Resposta:</w:t>
      </w:r>
      <w:r w:rsidR="00ED2E33" w:rsidRPr="002C7F50">
        <w:rPr>
          <w:rFonts w:ascii="Garamond" w:hAnsi="Garamond"/>
          <w:i/>
          <w:sz w:val="24"/>
          <w:szCs w:val="24"/>
        </w:rPr>
        <w:t xml:space="preserve"> Sugestão incorporada. De fato, a dimensão temporal do painel (1997 a 2005) refere-se ao período de maior inserção do Brasil no comércio internacional. Portanto, o título do trabalho foi alterado para:</w:t>
      </w:r>
    </w:p>
    <w:p w:rsidR="00ED2E33" w:rsidRPr="002C7F50" w:rsidRDefault="00ED2E33" w:rsidP="00310943">
      <w:pPr>
        <w:spacing w:after="0"/>
        <w:jc w:val="both"/>
        <w:rPr>
          <w:rFonts w:ascii="Garamond" w:hAnsi="Garamond"/>
          <w:i/>
          <w:sz w:val="24"/>
          <w:szCs w:val="24"/>
        </w:rPr>
      </w:pPr>
    </w:p>
    <w:p w:rsidR="00ED2E33" w:rsidRPr="002C7F50" w:rsidRDefault="00ED2E33" w:rsidP="00ED2E33">
      <w:pPr>
        <w:spacing w:after="0"/>
        <w:jc w:val="both"/>
        <w:rPr>
          <w:rFonts w:ascii="Garamond" w:hAnsi="Garamond"/>
          <w:sz w:val="24"/>
          <w:szCs w:val="24"/>
          <w:highlight w:val="yellow"/>
        </w:rPr>
      </w:pPr>
      <w:r w:rsidRPr="002C7F50">
        <w:rPr>
          <w:rFonts w:ascii="Garamond" w:hAnsi="Garamond"/>
          <w:sz w:val="24"/>
          <w:szCs w:val="24"/>
          <w:highlight w:val="yellow"/>
        </w:rPr>
        <w:t xml:space="preserve">Impactos da Abertura Comercial e a Contribuição dos Diferenciais de Escolaridade sobre o Nível de Renda dos Municípios Cearenses </w:t>
      </w:r>
      <w:r w:rsidR="001925EF" w:rsidRPr="002C7F50">
        <w:rPr>
          <w:rFonts w:ascii="Garamond" w:hAnsi="Garamond"/>
          <w:sz w:val="24"/>
          <w:szCs w:val="24"/>
          <w:highlight w:val="yellow"/>
        </w:rPr>
        <w:t>no período de 1997 a</w:t>
      </w:r>
      <w:r w:rsidRPr="002C7F50">
        <w:rPr>
          <w:rFonts w:ascii="Garamond" w:hAnsi="Garamond"/>
          <w:sz w:val="24"/>
          <w:szCs w:val="24"/>
          <w:highlight w:val="yellow"/>
        </w:rPr>
        <w:t xml:space="preserve"> 2005.</w:t>
      </w:r>
    </w:p>
    <w:p w:rsidR="00ED2E33" w:rsidRPr="002C7F50" w:rsidRDefault="00ED2E33" w:rsidP="00ED2E33">
      <w:pPr>
        <w:spacing w:after="0"/>
        <w:jc w:val="both"/>
        <w:rPr>
          <w:rFonts w:ascii="Garamond" w:hAnsi="Garamond"/>
          <w:sz w:val="24"/>
          <w:szCs w:val="24"/>
          <w:highlight w:val="yellow"/>
        </w:rPr>
      </w:pPr>
    </w:p>
    <w:p w:rsidR="00ED2E33" w:rsidRPr="002C7F50" w:rsidRDefault="00ED2E33" w:rsidP="00ED2E33">
      <w:pPr>
        <w:spacing w:after="0"/>
        <w:jc w:val="both"/>
        <w:rPr>
          <w:rFonts w:ascii="Garamond" w:hAnsi="Garamond"/>
          <w:i/>
          <w:sz w:val="24"/>
          <w:szCs w:val="24"/>
        </w:rPr>
      </w:pPr>
      <w:r w:rsidRPr="002C7F50">
        <w:rPr>
          <w:rFonts w:ascii="Garamond" w:hAnsi="Garamond"/>
          <w:i/>
          <w:sz w:val="24"/>
          <w:szCs w:val="24"/>
        </w:rPr>
        <w:t xml:space="preserve">E, além disso, foi </w:t>
      </w:r>
      <w:proofErr w:type="gramStart"/>
      <w:r w:rsidRPr="002C7F50">
        <w:rPr>
          <w:rFonts w:ascii="Garamond" w:hAnsi="Garamond"/>
          <w:i/>
          <w:sz w:val="24"/>
          <w:szCs w:val="24"/>
        </w:rPr>
        <w:t>incorporado</w:t>
      </w:r>
      <w:proofErr w:type="gramEnd"/>
      <w:r w:rsidRPr="002C7F50">
        <w:rPr>
          <w:rFonts w:ascii="Garamond" w:hAnsi="Garamond"/>
          <w:i/>
          <w:sz w:val="24"/>
          <w:szCs w:val="24"/>
        </w:rPr>
        <w:t xml:space="preserve"> logo na introdução a seguinte sentença:</w:t>
      </w:r>
    </w:p>
    <w:p w:rsidR="000A5B98" w:rsidRPr="002C7F50" w:rsidRDefault="000A5B98" w:rsidP="003A1BD5">
      <w:pPr>
        <w:spacing w:line="240" w:lineRule="auto"/>
        <w:jc w:val="both"/>
        <w:rPr>
          <w:rStyle w:val="longtext"/>
          <w:rFonts w:ascii="Garamond" w:hAnsi="Garamond"/>
          <w:sz w:val="24"/>
          <w:szCs w:val="24"/>
          <w:lang w:val="pt-PT"/>
        </w:rPr>
      </w:pPr>
    </w:p>
    <w:p w:rsidR="003A1BD5" w:rsidRPr="002C7F50" w:rsidRDefault="003A1BD5" w:rsidP="003A1BD5">
      <w:pPr>
        <w:spacing w:line="240" w:lineRule="auto"/>
        <w:jc w:val="both"/>
        <w:rPr>
          <w:rStyle w:val="longtext"/>
          <w:rFonts w:ascii="Garamond" w:hAnsi="Garamond"/>
          <w:sz w:val="24"/>
          <w:szCs w:val="24"/>
          <w:lang w:val="pt-PT"/>
        </w:rPr>
      </w:pPr>
      <w:r w:rsidRPr="002C7F50">
        <w:rPr>
          <w:rStyle w:val="longtext"/>
          <w:rFonts w:ascii="Garamond" w:hAnsi="Garamond"/>
          <w:sz w:val="24"/>
          <w:szCs w:val="24"/>
          <w:lang w:val="pt-PT"/>
        </w:rPr>
        <w:t xml:space="preserve">Assim, para averiguar tais efeitos, utilizar-se-á de informações de 42 municípios entre 1997 e 2005 e modelos dinâmicos para dados em painel, estimados pelo Método dos Momentos Generalizado-Sistema, doravante </w:t>
      </w:r>
      <w:r w:rsidRPr="002C7F50">
        <w:rPr>
          <w:rFonts w:ascii="Garamond" w:hAnsi="Garamond"/>
          <w:i/>
          <w:sz w:val="24"/>
          <w:szCs w:val="24"/>
        </w:rPr>
        <w:t>System-GMM</w:t>
      </w:r>
      <w:r w:rsidRPr="002C7F50">
        <w:rPr>
          <w:rStyle w:val="longtext"/>
          <w:rFonts w:ascii="Garamond" w:hAnsi="Garamond"/>
          <w:sz w:val="24"/>
          <w:szCs w:val="24"/>
          <w:lang w:val="pt-PT"/>
        </w:rPr>
        <w:t xml:space="preserve">, que é uma extensão do estimador original de Arellano-Bond (1991), proposto por Arellano-Bover (1995) e desenvolvido por Blundell e Bond (1998). </w:t>
      </w:r>
      <w:proofErr w:type="gramStart"/>
      <w:r w:rsidRPr="002C7F50">
        <w:rPr>
          <w:rStyle w:val="longtext"/>
          <w:rFonts w:ascii="Garamond" w:hAnsi="Garamond"/>
          <w:sz w:val="24"/>
          <w:szCs w:val="24"/>
          <w:lang w:val="pt-PT"/>
        </w:rPr>
        <w:t>Vale</w:t>
      </w:r>
      <w:proofErr w:type="gramEnd"/>
      <w:r w:rsidRPr="002C7F50">
        <w:rPr>
          <w:rStyle w:val="longtext"/>
          <w:rFonts w:ascii="Garamond" w:hAnsi="Garamond"/>
          <w:sz w:val="24"/>
          <w:szCs w:val="24"/>
          <w:lang w:val="pt-PT"/>
        </w:rPr>
        <w:t xml:space="preserve"> ressaltar que, em virtude da indisponibilidade de dados para todos os municípios do estado, foram utilizadas informações para os 42 municípios com informações disponíveis. </w:t>
      </w:r>
      <w:r w:rsidRPr="002C7F50">
        <w:rPr>
          <w:rStyle w:val="longtext"/>
          <w:rFonts w:ascii="Garamond" w:hAnsi="Garamond"/>
          <w:sz w:val="24"/>
          <w:szCs w:val="24"/>
          <w:highlight w:val="yellow"/>
          <w:lang w:val="pt-PT"/>
        </w:rPr>
        <w:t>E, ainda, a dimensão temporal do painel entre 1997 e 2005 justifica-se pela indisponibilidade dos indicadores de capital humano para os anos anteriores e subsequentes, todavia, ressalta-se que o período em questão foi caracterizado pelo momento de maior inserção do Brasil no comercio internacional em relação ao seu histórico no século XX.</w:t>
      </w:r>
    </w:p>
    <w:p w:rsidR="00ED2E33" w:rsidRPr="002C7F50" w:rsidRDefault="00ED2E33" w:rsidP="00ED2E33">
      <w:pPr>
        <w:spacing w:after="0"/>
        <w:jc w:val="both"/>
        <w:rPr>
          <w:rFonts w:ascii="Garamond" w:hAnsi="Garamond"/>
          <w:i/>
          <w:sz w:val="24"/>
          <w:szCs w:val="24"/>
        </w:rPr>
      </w:pPr>
    </w:p>
    <w:p w:rsidR="00C807F6" w:rsidRPr="002C7F50" w:rsidRDefault="003A1BD5"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 xml:space="preserve">2 - </w:t>
      </w:r>
      <w:r w:rsidR="00310943" w:rsidRPr="002C7F50">
        <w:rPr>
          <w:rFonts w:ascii="Garamond" w:eastAsia="Times New Roman" w:hAnsi="Garamond"/>
          <w:sz w:val="24"/>
          <w:szCs w:val="24"/>
          <w:lang w:eastAsia="pt-BR"/>
        </w:rPr>
        <w:t xml:space="preserve">Ainda em relação a este ponto, </w:t>
      </w:r>
      <w:proofErr w:type="gramStart"/>
      <w:r w:rsidR="00310943" w:rsidRPr="002C7F50">
        <w:rPr>
          <w:rFonts w:ascii="Garamond" w:eastAsia="Times New Roman" w:hAnsi="Garamond"/>
          <w:sz w:val="24"/>
          <w:szCs w:val="24"/>
          <w:lang w:eastAsia="pt-BR"/>
        </w:rPr>
        <w:t>grau de abertura comercial e desempenho da renda per capita, fica</w:t>
      </w:r>
      <w:proofErr w:type="gramEnd"/>
      <w:r w:rsidR="00310943" w:rsidRPr="002C7F50">
        <w:rPr>
          <w:rFonts w:ascii="Garamond" w:eastAsia="Times New Roman" w:hAnsi="Garamond"/>
          <w:sz w:val="24"/>
          <w:szCs w:val="24"/>
          <w:lang w:eastAsia="pt-BR"/>
        </w:rPr>
        <w:t xml:space="preserve"> a seguinte dúvida: por qual razão apenas os municípios do estado do Ceará? Acho que o artigo ganharia relevância se o estudo fosse realizado para todo o Brasil, com a mesma ideia de separar os municípios segundo o estágio de desenvolvimento para investigação de efeitos assimétricos da abertura comercial. A principal justificativa dos autores para a realização do “experimento” apenas para o Ceará são as disparidades existentes entre os municípios do estado. Entretanto, em muitos estados do país são observadas desigualdades regionais marcantes. Como o trabalho tem por objetivo contribuir com a literatura acrescentando uma evidência adicional, o estudo para o país todo atenderia melhor essa finalidade.</w:t>
      </w:r>
    </w:p>
    <w:p w:rsidR="00C807F6" w:rsidRPr="002C7F50" w:rsidRDefault="00C807F6" w:rsidP="00310943">
      <w:pPr>
        <w:spacing w:after="0"/>
        <w:jc w:val="both"/>
        <w:rPr>
          <w:rFonts w:ascii="Garamond" w:eastAsia="Times New Roman" w:hAnsi="Garamond"/>
          <w:sz w:val="24"/>
          <w:szCs w:val="24"/>
          <w:lang w:eastAsia="pt-BR"/>
        </w:rPr>
      </w:pPr>
    </w:p>
    <w:p w:rsidR="001925EF"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3A1BD5" w:rsidRPr="002C7F50">
        <w:rPr>
          <w:rFonts w:ascii="Garamond" w:hAnsi="Garamond"/>
          <w:i/>
          <w:sz w:val="24"/>
          <w:szCs w:val="24"/>
        </w:rPr>
        <w:t xml:space="preserve"> De fato, uma análise para o Brasil a</w:t>
      </w:r>
      <w:r w:rsidR="008D72E4" w:rsidRPr="002C7F50">
        <w:rPr>
          <w:rFonts w:ascii="Garamond" w:hAnsi="Garamond"/>
          <w:i/>
          <w:sz w:val="24"/>
          <w:szCs w:val="24"/>
        </w:rPr>
        <w:t>presenta evidências importantes;</w:t>
      </w:r>
      <w:r w:rsidR="003A1BD5" w:rsidRPr="002C7F50">
        <w:rPr>
          <w:rFonts w:ascii="Garamond" w:hAnsi="Garamond"/>
          <w:i/>
          <w:sz w:val="24"/>
          <w:szCs w:val="24"/>
        </w:rPr>
        <w:t xml:space="preserve"> todavia, essa abordagem foi realizada por em Arruda </w:t>
      </w:r>
      <w:proofErr w:type="gramStart"/>
      <w:r w:rsidR="003A1BD5" w:rsidRPr="002C7F50">
        <w:rPr>
          <w:rFonts w:ascii="Garamond" w:hAnsi="Garamond"/>
          <w:i/>
          <w:sz w:val="24"/>
          <w:szCs w:val="24"/>
        </w:rPr>
        <w:t>et</w:t>
      </w:r>
      <w:proofErr w:type="gramEnd"/>
      <w:r w:rsidR="003A1BD5" w:rsidRPr="002C7F50">
        <w:rPr>
          <w:rFonts w:ascii="Garamond" w:hAnsi="Garamond"/>
          <w:i/>
          <w:sz w:val="24"/>
          <w:szCs w:val="24"/>
        </w:rPr>
        <w:t xml:space="preserve"> </w:t>
      </w:r>
      <w:proofErr w:type="spellStart"/>
      <w:r w:rsidR="003A1BD5" w:rsidRPr="002C7F50">
        <w:rPr>
          <w:rFonts w:ascii="Garamond" w:hAnsi="Garamond"/>
          <w:i/>
          <w:sz w:val="24"/>
          <w:szCs w:val="24"/>
        </w:rPr>
        <w:t>all</w:t>
      </w:r>
      <w:proofErr w:type="spellEnd"/>
      <w:r w:rsidR="003A1BD5" w:rsidRPr="002C7F50">
        <w:rPr>
          <w:rFonts w:ascii="Garamond" w:hAnsi="Garamond"/>
          <w:i/>
          <w:sz w:val="24"/>
          <w:szCs w:val="24"/>
        </w:rPr>
        <w:t xml:space="preserve"> (2013)</w:t>
      </w:r>
      <w:r w:rsidR="008D72E4" w:rsidRPr="002C7F50">
        <w:rPr>
          <w:rFonts w:ascii="Garamond" w:hAnsi="Garamond"/>
          <w:i/>
          <w:sz w:val="24"/>
          <w:szCs w:val="24"/>
        </w:rPr>
        <w:t xml:space="preserve"> e serviu como referência e motivação para esse estudo</w:t>
      </w:r>
      <w:r w:rsidR="003A1BD5" w:rsidRPr="002C7F50">
        <w:rPr>
          <w:rFonts w:ascii="Garamond" w:hAnsi="Garamond"/>
          <w:i/>
          <w:sz w:val="24"/>
          <w:szCs w:val="24"/>
        </w:rPr>
        <w:t>. Os autores mostram que as regiões Centro-Oeste, Sul e Sudeste</w:t>
      </w:r>
      <w:r w:rsidR="008D72E4" w:rsidRPr="002C7F50">
        <w:rPr>
          <w:rFonts w:ascii="Garamond" w:hAnsi="Garamond"/>
          <w:i/>
          <w:sz w:val="24"/>
          <w:szCs w:val="24"/>
        </w:rPr>
        <w:t xml:space="preserve"> se beneficiaram da abertura comercial, enquanto que, no Nordeste, observaram-se efeitos negativos da abertura sobre o nível de renda. Assim surgiu a motivação para o presente estudo, qual </w:t>
      </w:r>
      <w:proofErr w:type="gramStart"/>
      <w:r w:rsidR="008D72E4" w:rsidRPr="002C7F50">
        <w:rPr>
          <w:rFonts w:ascii="Garamond" w:hAnsi="Garamond"/>
          <w:i/>
          <w:sz w:val="24"/>
          <w:szCs w:val="24"/>
        </w:rPr>
        <w:t>seja,</w:t>
      </w:r>
      <w:proofErr w:type="gramEnd"/>
      <w:r w:rsidR="008D72E4" w:rsidRPr="002C7F50">
        <w:rPr>
          <w:rFonts w:ascii="Garamond" w:hAnsi="Garamond"/>
          <w:i/>
          <w:sz w:val="24"/>
          <w:szCs w:val="24"/>
        </w:rPr>
        <w:t xml:space="preserve"> a de examinar, dentro da região nordeste, se existiam assimetrias do mesmo gênero. A opção pelo estado do Ceará se deu unicamente por disponibilidade de dados</w:t>
      </w:r>
      <w:proofErr w:type="gramStart"/>
      <w:r w:rsidR="008D72E4" w:rsidRPr="002C7F50">
        <w:rPr>
          <w:rFonts w:ascii="Garamond" w:hAnsi="Garamond"/>
          <w:i/>
          <w:sz w:val="24"/>
          <w:szCs w:val="24"/>
        </w:rPr>
        <w:t xml:space="preserve"> sobretudo</w:t>
      </w:r>
      <w:proofErr w:type="gramEnd"/>
      <w:r w:rsidR="008D72E4" w:rsidRPr="002C7F50">
        <w:rPr>
          <w:rFonts w:ascii="Garamond" w:hAnsi="Garamond"/>
          <w:i/>
          <w:sz w:val="24"/>
          <w:szCs w:val="24"/>
        </w:rPr>
        <w:t xml:space="preserve"> para o indicador de capital humano.</w:t>
      </w:r>
      <w:r w:rsidR="003A1BD5" w:rsidRPr="002C7F50">
        <w:rPr>
          <w:rFonts w:ascii="Garamond" w:hAnsi="Garamond"/>
          <w:i/>
          <w:sz w:val="24"/>
          <w:szCs w:val="24"/>
        </w:rPr>
        <w:t xml:space="preserve"> </w:t>
      </w:r>
    </w:p>
    <w:p w:rsidR="004172BC" w:rsidRPr="002C7F50" w:rsidRDefault="004172BC" w:rsidP="00310943">
      <w:pPr>
        <w:spacing w:after="0"/>
        <w:jc w:val="both"/>
        <w:rPr>
          <w:rFonts w:ascii="Garamond" w:hAnsi="Garamond"/>
          <w:i/>
          <w:sz w:val="24"/>
          <w:szCs w:val="24"/>
        </w:rPr>
      </w:pPr>
    </w:p>
    <w:p w:rsidR="001925EF" w:rsidRPr="002C7F50" w:rsidRDefault="001925EF" w:rsidP="00310943">
      <w:pPr>
        <w:spacing w:after="0"/>
        <w:jc w:val="both"/>
        <w:rPr>
          <w:rFonts w:ascii="Garamond" w:hAnsi="Garamond"/>
          <w:i/>
          <w:sz w:val="24"/>
          <w:szCs w:val="24"/>
        </w:rPr>
      </w:pPr>
      <w:r w:rsidRPr="002C7F50">
        <w:rPr>
          <w:rFonts w:ascii="Garamond" w:hAnsi="Garamond"/>
          <w:i/>
          <w:sz w:val="24"/>
          <w:szCs w:val="24"/>
        </w:rPr>
        <w:t>Portanto, logo na introdução procuramos esclarecer esse fato com a inclusão do parágrafo:</w:t>
      </w:r>
    </w:p>
    <w:p w:rsidR="001925EF" w:rsidRPr="002C7F50" w:rsidRDefault="001925EF" w:rsidP="00310943">
      <w:pPr>
        <w:spacing w:after="0"/>
        <w:jc w:val="both"/>
        <w:rPr>
          <w:rFonts w:ascii="Garamond" w:hAnsi="Garamond"/>
          <w:i/>
          <w:sz w:val="24"/>
          <w:szCs w:val="24"/>
        </w:rPr>
      </w:pPr>
    </w:p>
    <w:p w:rsidR="001925EF" w:rsidRPr="002C7F50" w:rsidRDefault="001925EF" w:rsidP="004172BC">
      <w:pPr>
        <w:spacing w:line="240" w:lineRule="auto"/>
        <w:jc w:val="both"/>
        <w:rPr>
          <w:rFonts w:ascii="Garamond" w:hAnsi="Garamond"/>
          <w:sz w:val="24"/>
          <w:szCs w:val="24"/>
        </w:rPr>
      </w:pPr>
      <w:r w:rsidRPr="002C7F50">
        <w:rPr>
          <w:rStyle w:val="longtext"/>
          <w:rFonts w:ascii="Garamond" w:hAnsi="Garamond"/>
          <w:sz w:val="24"/>
          <w:szCs w:val="24"/>
          <w:highlight w:val="yellow"/>
          <w:lang w:val="pt-PT"/>
        </w:rPr>
        <w:lastRenderedPageBreak/>
        <w:t xml:space="preserve">Em estudo para o Brasil, Arruda </w:t>
      </w:r>
      <w:proofErr w:type="gramStart"/>
      <w:r w:rsidRPr="002C7F50">
        <w:rPr>
          <w:rStyle w:val="longtext"/>
          <w:rFonts w:ascii="Garamond" w:hAnsi="Garamond"/>
          <w:i/>
          <w:sz w:val="24"/>
          <w:szCs w:val="24"/>
          <w:highlight w:val="yellow"/>
          <w:lang w:val="pt-PT"/>
        </w:rPr>
        <w:t>et</w:t>
      </w:r>
      <w:proofErr w:type="gramEnd"/>
      <w:r w:rsidRPr="002C7F50">
        <w:rPr>
          <w:rStyle w:val="longtext"/>
          <w:rFonts w:ascii="Garamond" w:hAnsi="Garamond"/>
          <w:i/>
          <w:sz w:val="24"/>
          <w:szCs w:val="24"/>
          <w:highlight w:val="yellow"/>
          <w:lang w:val="pt-PT"/>
        </w:rPr>
        <w:t xml:space="preserve"> all </w:t>
      </w:r>
      <w:r w:rsidRPr="002C7F50">
        <w:rPr>
          <w:rStyle w:val="longtext"/>
          <w:rFonts w:ascii="Garamond" w:hAnsi="Garamond"/>
          <w:sz w:val="24"/>
          <w:szCs w:val="24"/>
          <w:highlight w:val="yellow"/>
          <w:lang w:val="pt-PT"/>
        </w:rPr>
        <w:t xml:space="preserve">(2013) encontram evidências de que apenas as regiões Sudeste, Sul e Centro-Oeste do Brasil se beneficiaram da abertura comercial, enquanto que, na região Nordeste, </w:t>
      </w:r>
      <w:r w:rsidRPr="002C7F50">
        <w:rPr>
          <w:rFonts w:ascii="Garamond" w:hAnsi="Garamond"/>
          <w:sz w:val="24"/>
          <w:szCs w:val="24"/>
          <w:highlight w:val="yellow"/>
        </w:rPr>
        <w:t>observaram-se efeitos negativos da abertura comercial sobre o nível de renda. Portanto, a motivação para o presente estudo centrou-se em investigar a existência de assimetrias semelhantes dentro da região Nordeste e o exercício para o Estado do Ceará se deu pela disponibilidade de informações, sobretudo para o indicador de capital humano.</w:t>
      </w:r>
    </w:p>
    <w:p w:rsidR="00310943" w:rsidRPr="002C7F50" w:rsidRDefault="001925EF" w:rsidP="001925EF">
      <w:pPr>
        <w:spacing w:line="360" w:lineRule="auto"/>
        <w:jc w:val="both"/>
        <w:rPr>
          <w:rFonts w:ascii="Garamond" w:eastAsia="Times New Roman" w:hAnsi="Garamond"/>
          <w:sz w:val="24"/>
          <w:szCs w:val="24"/>
          <w:lang w:eastAsia="pt-BR"/>
        </w:rPr>
      </w:pPr>
      <w:r w:rsidRPr="002C7F50">
        <w:rPr>
          <w:rFonts w:ascii="Garamond" w:eastAsia="Times New Roman" w:hAnsi="Garamond"/>
          <w:sz w:val="24"/>
          <w:szCs w:val="24"/>
          <w:lang w:eastAsia="pt-BR"/>
        </w:rPr>
        <w:t xml:space="preserve"> 3 – </w:t>
      </w:r>
      <w:r w:rsidR="00310943" w:rsidRPr="002C7F50">
        <w:rPr>
          <w:rFonts w:ascii="Garamond" w:eastAsia="Times New Roman" w:hAnsi="Garamond"/>
          <w:sz w:val="24"/>
          <w:szCs w:val="24"/>
          <w:lang w:eastAsia="pt-BR"/>
        </w:rPr>
        <w:t xml:space="preserve">Já em relação </w:t>
      </w:r>
      <w:proofErr w:type="gramStart"/>
      <w:r w:rsidR="00310943" w:rsidRPr="002C7F50">
        <w:rPr>
          <w:rFonts w:ascii="Garamond" w:eastAsia="Times New Roman" w:hAnsi="Garamond"/>
          <w:sz w:val="24"/>
          <w:szCs w:val="24"/>
          <w:lang w:eastAsia="pt-BR"/>
        </w:rPr>
        <w:t>a</w:t>
      </w:r>
      <w:proofErr w:type="gramEnd"/>
      <w:r w:rsidR="00310943" w:rsidRPr="002C7F50">
        <w:rPr>
          <w:rFonts w:ascii="Garamond" w:eastAsia="Times New Roman" w:hAnsi="Garamond"/>
          <w:sz w:val="24"/>
          <w:szCs w:val="24"/>
          <w:lang w:eastAsia="pt-BR"/>
        </w:rPr>
        <w:t xml:space="preserve"> discussão do papel do capital humano sobre crescimento, a revisão de literatura falha em não apresentar e discutir os principais estudos recentes. Por exemplo, ao longo dos últimos quase 15 anos houve um intenso debate entre </w:t>
      </w:r>
      <w:proofErr w:type="spellStart"/>
      <w:r w:rsidR="00310943" w:rsidRPr="002C7F50">
        <w:rPr>
          <w:rFonts w:ascii="Garamond" w:eastAsia="Times New Roman" w:hAnsi="Garamond"/>
          <w:sz w:val="24"/>
          <w:szCs w:val="24"/>
          <w:lang w:eastAsia="pt-BR"/>
        </w:rPr>
        <w:t>Acemoglu</w:t>
      </w:r>
      <w:proofErr w:type="spellEnd"/>
      <w:r w:rsidR="00310943" w:rsidRPr="002C7F50">
        <w:rPr>
          <w:rFonts w:ascii="Garamond" w:eastAsia="Times New Roman" w:hAnsi="Garamond"/>
          <w:sz w:val="24"/>
          <w:szCs w:val="24"/>
          <w:lang w:eastAsia="pt-BR"/>
        </w:rPr>
        <w:t xml:space="preserve"> e </w:t>
      </w:r>
      <w:proofErr w:type="spellStart"/>
      <w:proofErr w:type="gramStart"/>
      <w:r w:rsidR="00310943" w:rsidRPr="002C7F50">
        <w:rPr>
          <w:rFonts w:ascii="Garamond" w:eastAsia="Times New Roman" w:hAnsi="Garamond"/>
          <w:sz w:val="24"/>
          <w:szCs w:val="24"/>
          <w:lang w:eastAsia="pt-BR"/>
        </w:rPr>
        <w:t>co-autores</w:t>
      </w:r>
      <w:proofErr w:type="spellEnd"/>
      <w:proofErr w:type="gramEnd"/>
      <w:r w:rsidR="00310943" w:rsidRPr="002C7F50">
        <w:rPr>
          <w:rFonts w:ascii="Garamond" w:eastAsia="Times New Roman" w:hAnsi="Garamond"/>
          <w:sz w:val="24"/>
          <w:szCs w:val="24"/>
          <w:lang w:eastAsia="pt-BR"/>
        </w:rPr>
        <w:t xml:space="preserve"> e </w:t>
      </w:r>
      <w:proofErr w:type="spellStart"/>
      <w:r w:rsidR="00310943" w:rsidRPr="002C7F50">
        <w:rPr>
          <w:rFonts w:ascii="Garamond" w:eastAsia="Times New Roman" w:hAnsi="Garamond"/>
          <w:sz w:val="24"/>
          <w:szCs w:val="24"/>
          <w:lang w:eastAsia="pt-BR"/>
        </w:rPr>
        <w:t>Glaeser</w:t>
      </w:r>
      <w:proofErr w:type="spellEnd"/>
      <w:r w:rsidR="00310943" w:rsidRPr="002C7F50">
        <w:rPr>
          <w:rFonts w:ascii="Garamond" w:eastAsia="Times New Roman" w:hAnsi="Garamond"/>
          <w:sz w:val="24"/>
          <w:szCs w:val="24"/>
          <w:lang w:eastAsia="pt-BR"/>
        </w:rPr>
        <w:t xml:space="preserve"> e </w:t>
      </w:r>
      <w:proofErr w:type="spellStart"/>
      <w:r w:rsidR="00310943" w:rsidRPr="002C7F50">
        <w:rPr>
          <w:rFonts w:ascii="Garamond" w:eastAsia="Times New Roman" w:hAnsi="Garamond"/>
          <w:sz w:val="24"/>
          <w:szCs w:val="24"/>
          <w:lang w:eastAsia="pt-BR"/>
        </w:rPr>
        <w:t>co-autores</w:t>
      </w:r>
      <w:proofErr w:type="spellEnd"/>
      <w:r w:rsidR="00310943" w:rsidRPr="002C7F50">
        <w:rPr>
          <w:rFonts w:ascii="Garamond" w:eastAsia="Times New Roman" w:hAnsi="Garamond"/>
          <w:sz w:val="24"/>
          <w:szCs w:val="24"/>
          <w:lang w:eastAsia="pt-BR"/>
        </w:rPr>
        <w:t xml:space="preserve"> sobre qual seria o principal determinante de crescimento econômico, instituições ou capital humano? (ver entre outros </w:t>
      </w:r>
      <w:proofErr w:type="spellStart"/>
      <w:r w:rsidR="00310943" w:rsidRPr="002C7F50">
        <w:rPr>
          <w:rFonts w:ascii="Garamond" w:eastAsia="Times New Roman" w:hAnsi="Garamond"/>
          <w:sz w:val="24"/>
          <w:szCs w:val="24"/>
          <w:lang w:eastAsia="pt-BR"/>
        </w:rPr>
        <w:t>Acemoglu</w:t>
      </w:r>
      <w:proofErr w:type="spellEnd"/>
      <w:r w:rsidR="00310943" w:rsidRPr="002C7F50">
        <w:rPr>
          <w:rFonts w:ascii="Garamond" w:eastAsia="Times New Roman" w:hAnsi="Garamond"/>
          <w:sz w:val="24"/>
          <w:szCs w:val="24"/>
          <w:lang w:eastAsia="pt-BR"/>
        </w:rPr>
        <w:t xml:space="preserve"> </w:t>
      </w:r>
      <w:proofErr w:type="gramStart"/>
      <w:r w:rsidR="00310943" w:rsidRPr="002C7F50">
        <w:rPr>
          <w:rFonts w:ascii="Garamond" w:eastAsia="Times New Roman" w:hAnsi="Garamond"/>
          <w:sz w:val="24"/>
          <w:szCs w:val="24"/>
          <w:lang w:eastAsia="pt-BR"/>
        </w:rPr>
        <w:t>et</w:t>
      </w:r>
      <w:proofErr w:type="gramEnd"/>
      <w:r w:rsidR="00310943" w:rsidRPr="002C7F50">
        <w:rPr>
          <w:rFonts w:ascii="Garamond" w:eastAsia="Times New Roman" w:hAnsi="Garamond"/>
          <w:sz w:val="24"/>
          <w:szCs w:val="24"/>
          <w:lang w:eastAsia="pt-BR"/>
        </w:rPr>
        <w:t xml:space="preserve"> al, 2001; 2002; 2014 e </w:t>
      </w:r>
      <w:proofErr w:type="spellStart"/>
      <w:r w:rsidR="00310943" w:rsidRPr="002C7F50">
        <w:rPr>
          <w:rFonts w:ascii="Garamond" w:eastAsia="Times New Roman" w:hAnsi="Garamond"/>
          <w:sz w:val="24"/>
          <w:szCs w:val="24"/>
          <w:lang w:eastAsia="pt-BR"/>
        </w:rPr>
        <w:t>Glaeser</w:t>
      </w:r>
      <w:proofErr w:type="spellEnd"/>
      <w:r w:rsidR="00310943" w:rsidRPr="002C7F50">
        <w:rPr>
          <w:rFonts w:ascii="Garamond" w:eastAsia="Times New Roman" w:hAnsi="Garamond"/>
          <w:sz w:val="24"/>
          <w:szCs w:val="24"/>
          <w:lang w:eastAsia="pt-BR"/>
        </w:rPr>
        <w:t xml:space="preserve"> et al, 2004).</w:t>
      </w:r>
    </w:p>
    <w:p w:rsidR="001925EF" w:rsidRPr="002C7F50" w:rsidRDefault="00C807F6" w:rsidP="001925EF">
      <w:pPr>
        <w:spacing w:after="0"/>
        <w:jc w:val="both"/>
        <w:rPr>
          <w:rFonts w:ascii="Garamond" w:hAnsi="Garamond"/>
          <w:i/>
          <w:sz w:val="24"/>
          <w:szCs w:val="24"/>
        </w:rPr>
      </w:pPr>
      <w:r w:rsidRPr="002C7F50">
        <w:rPr>
          <w:rFonts w:ascii="Garamond" w:hAnsi="Garamond"/>
          <w:i/>
          <w:sz w:val="24"/>
          <w:szCs w:val="24"/>
        </w:rPr>
        <w:t>Resposta:</w:t>
      </w:r>
      <w:r w:rsidR="001925EF" w:rsidRPr="002C7F50">
        <w:rPr>
          <w:rFonts w:ascii="Garamond" w:hAnsi="Garamond"/>
          <w:i/>
          <w:sz w:val="24"/>
          <w:szCs w:val="24"/>
        </w:rPr>
        <w:t xml:space="preserve"> Sugestão Incorporada. Foram adicionados na revisão de literatura todos os trabalhos indicados pelo </w:t>
      </w:r>
      <w:proofErr w:type="spellStart"/>
      <w:r w:rsidR="001925EF" w:rsidRPr="002C7F50">
        <w:rPr>
          <w:rFonts w:ascii="Garamond" w:hAnsi="Garamond"/>
          <w:i/>
          <w:sz w:val="24"/>
          <w:szCs w:val="24"/>
        </w:rPr>
        <w:t>parecerista</w:t>
      </w:r>
      <w:proofErr w:type="spellEnd"/>
      <w:r w:rsidR="001925EF" w:rsidRPr="002C7F50">
        <w:rPr>
          <w:rFonts w:ascii="Garamond" w:hAnsi="Garamond"/>
          <w:i/>
          <w:sz w:val="24"/>
          <w:szCs w:val="24"/>
        </w:rPr>
        <w:t>:</w:t>
      </w:r>
      <w:r w:rsidR="00BA7C9C" w:rsidRPr="002C7F50">
        <w:rPr>
          <w:rFonts w:ascii="Garamond" w:hAnsi="Garamond"/>
          <w:i/>
          <w:sz w:val="24"/>
          <w:szCs w:val="24"/>
        </w:rPr>
        <w:t xml:space="preserve"> (Ver Resposta do item </w:t>
      </w:r>
      <w:proofErr w:type="gramStart"/>
      <w:r w:rsidR="00BA7C9C" w:rsidRPr="002C7F50">
        <w:rPr>
          <w:rFonts w:ascii="Garamond" w:hAnsi="Garamond"/>
          <w:i/>
          <w:sz w:val="24"/>
          <w:szCs w:val="24"/>
        </w:rPr>
        <w:t>4</w:t>
      </w:r>
      <w:proofErr w:type="gramEnd"/>
      <w:r w:rsidR="00BA7C9C" w:rsidRPr="002C7F50">
        <w:rPr>
          <w:rFonts w:ascii="Garamond" w:hAnsi="Garamond"/>
          <w:i/>
          <w:sz w:val="24"/>
          <w:szCs w:val="24"/>
        </w:rPr>
        <w:t xml:space="preserve"> ao </w:t>
      </w:r>
      <w:proofErr w:type="spellStart"/>
      <w:r w:rsidR="00BA7C9C" w:rsidRPr="002C7F50">
        <w:rPr>
          <w:rFonts w:ascii="Garamond" w:hAnsi="Garamond"/>
          <w:i/>
          <w:sz w:val="24"/>
          <w:szCs w:val="24"/>
        </w:rPr>
        <w:t>Parecerista</w:t>
      </w:r>
      <w:proofErr w:type="spellEnd"/>
      <w:r w:rsidR="00BA7C9C" w:rsidRPr="002C7F50">
        <w:rPr>
          <w:rFonts w:ascii="Garamond" w:hAnsi="Garamond"/>
          <w:i/>
          <w:sz w:val="24"/>
          <w:szCs w:val="24"/>
        </w:rPr>
        <w:t xml:space="preserve"> A)</w:t>
      </w:r>
    </w:p>
    <w:p w:rsidR="001925EF" w:rsidRPr="002C7F50" w:rsidRDefault="001925EF" w:rsidP="001925EF">
      <w:pPr>
        <w:spacing w:after="0"/>
        <w:jc w:val="both"/>
        <w:rPr>
          <w:rFonts w:ascii="Garamond" w:hAnsi="Garamond"/>
          <w:i/>
          <w:sz w:val="24"/>
          <w:szCs w:val="24"/>
        </w:rPr>
      </w:pPr>
    </w:p>
    <w:p w:rsidR="001925EF" w:rsidRPr="002C7F50" w:rsidRDefault="001925EF" w:rsidP="001925EF">
      <w:pPr>
        <w:spacing w:after="0"/>
        <w:jc w:val="both"/>
        <w:rPr>
          <w:rFonts w:ascii="Garamond" w:eastAsia="Times New Roman" w:hAnsi="Garamond"/>
          <w:sz w:val="24"/>
          <w:szCs w:val="24"/>
          <w:highlight w:val="yellow"/>
          <w:lang w:val="en-US" w:eastAsia="pt-BR"/>
        </w:rPr>
      </w:pPr>
      <w:r w:rsidRPr="002C7F50">
        <w:rPr>
          <w:rFonts w:ascii="Garamond" w:eastAsia="Times New Roman" w:hAnsi="Garamond"/>
          <w:sz w:val="24"/>
          <w:szCs w:val="24"/>
          <w:highlight w:val="yellow"/>
          <w:lang w:val="en-US" w:eastAsia="pt-BR"/>
        </w:rPr>
        <w:t xml:space="preserve">ACEMOGLU, D., JOHNSON, S., &amp; ROBINSON, J. A. The colonial origins of comparative development: An empirical investigation. </w:t>
      </w:r>
      <w:proofErr w:type="gramStart"/>
      <w:r w:rsidRPr="002C7F50">
        <w:rPr>
          <w:rFonts w:ascii="Garamond" w:eastAsia="Times New Roman" w:hAnsi="Garamond"/>
          <w:sz w:val="24"/>
          <w:szCs w:val="24"/>
          <w:highlight w:val="yellow"/>
          <w:lang w:val="en-US" w:eastAsia="pt-BR"/>
        </w:rPr>
        <w:t>American Economic Review.</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Vol. 91.</w:t>
      </w:r>
      <w:proofErr w:type="gramEnd"/>
      <w:r w:rsidRPr="002C7F50">
        <w:rPr>
          <w:rFonts w:ascii="Garamond" w:eastAsia="Times New Roman" w:hAnsi="Garamond"/>
          <w:sz w:val="24"/>
          <w:szCs w:val="24"/>
          <w:highlight w:val="yellow"/>
          <w:lang w:val="en-US" w:eastAsia="pt-BR"/>
        </w:rPr>
        <w:t xml:space="preserve"> No 5, p. 1369–1401. 2001.</w:t>
      </w:r>
    </w:p>
    <w:p w:rsidR="001925EF" w:rsidRPr="002C7F50" w:rsidRDefault="001925EF" w:rsidP="001925EF">
      <w:pPr>
        <w:spacing w:after="0"/>
        <w:jc w:val="both"/>
        <w:rPr>
          <w:rFonts w:ascii="Garamond" w:eastAsia="Times New Roman" w:hAnsi="Garamond"/>
          <w:sz w:val="24"/>
          <w:szCs w:val="24"/>
          <w:highlight w:val="yellow"/>
          <w:lang w:val="en-US" w:eastAsia="pt-BR"/>
        </w:rPr>
      </w:pPr>
      <w:r w:rsidRPr="002C7F50">
        <w:rPr>
          <w:rFonts w:ascii="Garamond" w:eastAsia="Times New Roman" w:hAnsi="Garamond"/>
          <w:sz w:val="24"/>
          <w:szCs w:val="24"/>
          <w:highlight w:val="yellow"/>
          <w:lang w:val="en-US" w:eastAsia="pt-BR"/>
        </w:rPr>
        <w:t xml:space="preserve">ACEMOGLU, D., JOHNSON, S., &amp; ROBINSON, J. A. Reversal of Fortune: Geography and Institutions in the Making of the Modern World Income Distribution. </w:t>
      </w:r>
      <w:proofErr w:type="gramStart"/>
      <w:r w:rsidRPr="002C7F50">
        <w:rPr>
          <w:rFonts w:ascii="Garamond" w:eastAsia="Times New Roman" w:hAnsi="Garamond"/>
          <w:sz w:val="24"/>
          <w:szCs w:val="24"/>
          <w:highlight w:val="yellow"/>
          <w:lang w:val="en-US" w:eastAsia="pt-BR"/>
        </w:rPr>
        <w:t>The Quarterly Journal of Economics.</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Vol. 117.</w:t>
      </w:r>
      <w:proofErr w:type="gramEnd"/>
      <w:r w:rsidRPr="002C7F50">
        <w:rPr>
          <w:rFonts w:ascii="Garamond" w:eastAsia="Times New Roman" w:hAnsi="Garamond"/>
          <w:sz w:val="24"/>
          <w:szCs w:val="24"/>
          <w:highlight w:val="yellow"/>
          <w:lang w:val="en-US" w:eastAsia="pt-BR"/>
        </w:rPr>
        <w:t xml:space="preserve"> No. 4, p. 1231–1294. 2002. </w:t>
      </w:r>
    </w:p>
    <w:p w:rsidR="001925EF" w:rsidRPr="002C7F50" w:rsidRDefault="001925EF" w:rsidP="001925EF">
      <w:pPr>
        <w:spacing w:after="0"/>
        <w:jc w:val="both"/>
        <w:rPr>
          <w:rFonts w:ascii="Garamond" w:eastAsia="Times New Roman" w:hAnsi="Garamond"/>
          <w:sz w:val="24"/>
          <w:szCs w:val="24"/>
          <w:highlight w:val="yellow"/>
          <w:lang w:val="en-US" w:eastAsia="pt-BR"/>
        </w:rPr>
      </w:pPr>
      <w:proofErr w:type="gramStart"/>
      <w:r w:rsidRPr="002C7F50">
        <w:rPr>
          <w:rFonts w:ascii="Garamond" w:eastAsia="Times New Roman" w:hAnsi="Garamond"/>
          <w:sz w:val="24"/>
          <w:szCs w:val="24"/>
          <w:highlight w:val="yellow"/>
          <w:lang w:val="en-US" w:eastAsia="pt-BR"/>
        </w:rPr>
        <w:t>ACEMOGLU, D., GALLEGO, F. A., ROBINSON, J. A. Institutions, human capital and development.</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 xml:space="preserve">NBER Working Paper </w:t>
      </w:r>
      <w:r w:rsidR="004172BC" w:rsidRPr="002C7F50">
        <w:rPr>
          <w:rFonts w:ascii="Garamond" w:eastAsia="Times New Roman" w:hAnsi="Garamond"/>
          <w:sz w:val="24"/>
          <w:szCs w:val="24"/>
          <w:highlight w:val="yellow"/>
          <w:lang w:val="en-US" w:eastAsia="pt-BR"/>
        </w:rPr>
        <w:t>Series.</w:t>
      </w:r>
      <w:proofErr w:type="gramEnd"/>
      <w:r w:rsidR="004172BC" w:rsidRPr="002C7F50">
        <w:rPr>
          <w:rFonts w:ascii="Garamond" w:eastAsia="Times New Roman" w:hAnsi="Garamond"/>
          <w:sz w:val="24"/>
          <w:szCs w:val="24"/>
          <w:highlight w:val="yellow"/>
          <w:lang w:val="en-US" w:eastAsia="pt-BR"/>
        </w:rPr>
        <w:t xml:space="preserve"> </w:t>
      </w:r>
      <w:proofErr w:type="gramStart"/>
      <w:r w:rsidR="004172BC" w:rsidRPr="002C7F50">
        <w:rPr>
          <w:rFonts w:ascii="Garamond" w:eastAsia="Times New Roman" w:hAnsi="Garamond"/>
          <w:sz w:val="24"/>
          <w:szCs w:val="24"/>
          <w:highlight w:val="yellow"/>
          <w:lang w:val="en-US" w:eastAsia="pt-BR"/>
        </w:rPr>
        <w:t>Working Paper No. 19933,</w:t>
      </w:r>
      <w:r w:rsidRPr="002C7F50">
        <w:rPr>
          <w:rFonts w:ascii="Garamond" w:eastAsia="Times New Roman" w:hAnsi="Garamond"/>
          <w:sz w:val="24"/>
          <w:szCs w:val="24"/>
          <w:highlight w:val="yellow"/>
          <w:lang w:val="en-US" w:eastAsia="pt-BR"/>
        </w:rPr>
        <w:t xml:space="preserve"> 2014.</w:t>
      </w:r>
      <w:proofErr w:type="gramEnd"/>
      <w:r w:rsidRPr="002C7F50">
        <w:rPr>
          <w:rFonts w:ascii="Garamond" w:eastAsia="Times New Roman" w:hAnsi="Garamond"/>
          <w:sz w:val="24"/>
          <w:szCs w:val="24"/>
          <w:highlight w:val="yellow"/>
          <w:lang w:val="en-US" w:eastAsia="pt-BR"/>
        </w:rPr>
        <w:br/>
      </w:r>
      <w:proofErr w:type="gramStart"/>
      <w:r w:rsidRPr="002C7F50">
        <w:rPr>
          <w:rFonts w:ascii="Garamond" w:eastAsia="Times New Roman" w:hAnsi="Garamond"/>
          <w:sz w:val="24"/>
          <w:szCs w:val="24"/>
          <w:highlight w:val="yellow"/>
          <w:lang w:val="en-US" w:eastAsia="pt-BR"/>
        </w:rPr>
        <w:t>GLAESER, E. L., LA PORTA, R., LOPEZ-DE-SILANES, F., &amp; Shleifer, A.</w:t>
      </w:r>
      <w:proofErr w:type="gramEnd"/>
      <w:r w:rsidRPr="002C7F50">
        <w:rPr>
          <w:rFonts w:ascii="Garamond" w:eastAsia="Times New Roman" w:hAnsi="Garamond"/>
          <w:sz w:val="24"/>
          <w:szCs w:val="24"/>
          <w:highlight w:val="yellow"/>
          <w:lang w:val="en-US" w:eastAsia="pt-BR"/>
        </w:rPr>
        <w:t xml:space="preserve"> Do institutions cause growth? </w:t>
      </w:r>
      <w:proofErr w:type="gramStart"/>
      <w:r w:rsidRPr="002C7F50">
        <w:rPr>
          <w:rFonts w:ascii="Garamond" w:eastAsia="Times New Roman" w:hAnsi="Garamond"/>
          <w:sz w:val="24"/>
          <w:szCs w:val="24"/>
          <w:highlight w:val="yellow"/>
          <w:lang w:val="en-US" w:eastAsia="pt-BR"/>
        </w:rPr>
        <w:t>Journal of Economic Growth.</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Vol. 9.</w:t>
      </w:r>
      <w:proofErr w:type="gramEnd"/>
      <w:r w:rsidRPr="002C7F50">
        <w:rPr>
          <w:rFonts w:ascii="Garamond" w:eastAsia="Times New Roman" w:hAnsi="Garamond"/>
          <w:sz w:val="24"/>
          <w:szCs w:val="24"/>
          <w:highlight w:val="yellow"/>
          <w:lang w:val="en-US" w:eastAsia="pt-BR"/>
        </w:rPr>
        <w:t xml:space="preserve"> No 3, p. </w:t>
      </w:r>
      <w:r w:rsidR="004172BC" w:rsidRPr="002C7F50">
        <w:rPr>
          <w:rFonts w:ascii="Garamond" w:eastAsia="Times New Roman" w:hAnsi="Garamond"/>
          <w:sz w:val="24"/>
          <w:szCs w:val="24"/>
          <w:highlight w:val="yellow"/>
          <w:lang w:val="en-US" w:eastAsia="pt-BR"/>
        </w:rPr>
        <w:t>271–303,</w:t>
      </w:r>
      <w:r w:rsidRPr="002C7F50">
        <w:rPr>
          <w:rFonts w:ascii="Garamond" w:eastAsia="Times New Roman" w:hAnsi="Garamond"/>
          <w:sz w:val="24"/>
          <w:szCs w:val="24"/>
          <w:highlight w:val="yellow"/>
          <w:lang w:val="en-US" w:eastAsia="pt-BR"/>
        </w:rPr>
        <w:t xml:space="preserve"> 2004.</w:t>
      </w:r>
    </w:p>
    <w:p w:rsidR="001925EF" w:rsidRPr="002C7F50" w:rsidRDefault="001925EF" w:rsidP="001925EF">
      <w:pPr>
        <w:spacing w:after="0"/>
        <w:jc w:val="both"/>
        <w:rPr>
          <w:rFonts w:ascii="Garamond" w:eastAsia="Times New Roman" w:hAnsi="Garamond"/>
          <w:sz w:val="24"/>
          <w:szCs w:val="24"/>
          <w:highlight w:val="yellow"/>
          <w:lang w:val="en-US" w:eastAsia="pt-BR"/>
        </w:rPr>
      </w:pPr>
      <w:proofErr w:type="gramStart"/>
      <w:r w:rsidRPr="002C7F50">
        <w:rPr>
          <w:rFonts w:ascii="Garamond" w:eastAsia="Times New Roman" w:hAnsi="Garamond"/>
          <w:sz w:val="24"/>
          <w:szCs w:val="24"/>
          <w:highlight w:val="yellow"/>
          <w:lang w:val="en-US" w:eastAsia="pt-BR"/>
        </w:rPr>
        <w:t>HANUSHEK, E. A. e KIMKO, D. D. Schooling, labor-force quality and the growth of nations?</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The American Economic Review.</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Vol. 90.</w:t>
      </w:r>
      <w:proofErr w:type="gramEnd"/>
      <w:r w:rsidRPr="002C7F50">
        <w:rPr>
          <w:rFonts w:ascii="Garamond" w:eastAsia="Times New Roman" w:hAnsi="Garamond"/>
          <w:sz w:val="24"/>
          <w:szCs w:val="24"/>
          <w:highlight w:val="yellow"/>
          <w:lang w:val="en-US" w:eastAsia="pt-BR"/>
        </w:rPr>
        <w:t xml:space="preserve"> No 5, p. 1184–1208. 2000. </w:t>
      </w:r>
    </w:p>
    <w:p w:rsidR="001925EF" w:rsidRPr="002C7F50" w:rsidRDefault="001925EF" w:rsidP="001925EF">
      <w:pPr>
        <w:spacing w:after="0"/>
        <w:jc w:val="both"/>
        <w:rPr>
          <w:rFonts w:ascii="Garamond" w:eastAsia="Times New Roman" w:hAnsi="Garamond"/>
          <w:sz w:val="24"/>
          <w:szCs w:val="24"/>
          <w:highlight w:val="yellow"/>
          <w:lang w:val="en-US" w:eastAsia="pt-BR"/>
        </w:rPr>
      </w:pPr>
      <w:r w:rsidRPr="002C7F50">
        <w:rPr>
          <w:rFonts w:ascii="Garamond" w:eastAsia="Times New Roman" w:hAnsi="Garamond"/>
          <w:sz w:val="24"/>
          <w:szCs w:val="24"/>
          <w:highlight w:val="yellow"/>
          <w:lang w:val="en-US" w:eastAsia="pt-BR"/>
        </w:rPr>
        <w:t xml:space="preserve">HANUSHEK, E. A., e WOESSMANN, L. </w:t>
      </w:r>
      <w:proofErr w:type="gramStart"/>
      <w:r w:rsidRPr="002C7F50">
        <w:rPr>
          <w:rFonts w:ascii="Garamond" w:eastAsia="Times New Roman" w:hAnsi="Garamond"/>
          <w:sz w:val="24"/>
          <w:szCs w:val="24"/>
          <w:highlight w:val="yellow"/>
          <w:lang w:val="en-US" w:eastAsia="pt-BR"/>
        </w:rPr>
        <w:t>The role of cognitive skills in economic development.</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Journal of Economic Literature.</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Vol. 46.</w:t>
      </w:r>
      <w:proofErr w:type="gramEnd"/>
      <w:r w:rsidRPr="002C7F50">
        <w:rPr>
          <w:rFonts w:ascii="Garamond" w:eastAsia="Times New Roman" w:hAnsi="Garamond"/>
          <w:sz w:val="24"/>
          <w:szCs w:val="24"/>
          <w:highlight w:val="yellow"/>
          <w:lang w:val="en-US" w:eastAsia="pt-BR"/>
        </w:rPr>
        <w:t xml:space="preserve"> No 3, p. 607–668. 2008. </w:t>
      </w:r>
    </w:p>
    <w:p w:rsidR="001925EF" w:rsidRPr="002C7F50" w:rsidRDefault="001925EF" w:rsidP="001925EF">
      <w:pPr>
        <w:spacing w:after="0"/>
        <w:jc w:val="both"/>
        <w:rPr>
          <w:rFonts w:ascii="Garamond" w:eastAsia="Times New Roman" w:hAnsi="Garamond"/>
          <w:sz w:val="24"/>
          <w:szCs w:val="24"/>
          <w:highlight w:val="yellow"/>
          <w:lang w:val="en-US" w:eastAsia="pt-BR"/>
        </w:rPr>
      </w:pPr>
      <w:r w:rsidRPr="002C7F50">
        <w:rPr>
          <w:rFonts w:ascii="Garamond" w:eastAsia="Times New Roman" w:hAnsi="Garamond"/>
          <w:sz w:val="24"/>
          <w:szCs w:val="24"/>
          <w:highlight w:val="yellow"/>
          <w:lang w:val="en-US" w:eastAsia="pt-BR"/>
        </w:rPr>
        <w:t xml:space="preserve">HANUSHEK, E. A., e WOESSMANN, L. </w:t>
      </w:r>
      <w:proofErr w:type="gramStart"/>
      <w:r w:rsidRPr="002C7F50">
        <w:rPr>
          <w:rFonts w:ascii="Garamond" w:eastAsia="Times New Roman" w:hAnsi="Garamond"/>
          <w:sz w:val="24"/>
          <w:szCs w:val="24"/>
          <w:highlight w:val="yellow"/>
          <w:lang w:val="en-US" w:eastAsia="pt-BR"/>
        </w:rPr>
        <w:t>The economics of international differences in educational achievement.</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 xml:space="preserve">In E. A. </w:t>
      </w:r>
      <w:proofErr w:type="spellStart"/>
      <w:r w:rsidRPr="002C7F50">
        <w:rPr>
          <w:rFonts w:ascii="Garamond" w:eastAsia="Times New Roman" w:hAnsi="Garamond"/>
          <w:sz w:val="24"/>
          <w:szCs w:val="24"/>
          <w:highlight w:val="yellow"/>
          <w:lang w:val="en-US" w:eastAsia="pt-BR"/>
        </w:rPr>
        <w:t>Hanushek</w:t>
      </w:r>
      <w:proofErr w:type="spellEnd"/>
      <w:r w:rsidRPr="002C7F50">
        <w:rPr>
          <w:rFonts w:ascii="Garamond" w:eastAsia="Times New Roman" w:hAnsi="Garamond"/>
          <w:sz w:val="24"/>
          <w:szCs w:val="24"/>
          <w:highlight w:val="yellow"/>
          <w:lang w:val="en-US" w:eastAsia="pt-BR"/>
        </w:rPr>
        <w:t xml:space="preserve">, S. Machin, &amp; L. </w:t>
      </w:r>
      <w:proofErr w:type="spellStart"/>
      <w:r w:rsidRPr="002C7F50">
        <w:rPr>
          <w:rFonts w:ascii="Garamond" w:eastAsia="Times New Roman" w:hAnsi="Garamond"/>
          <w:sz w:val="24"/>
          <w:szCs w:val="24"/>
          <w:highlight w:val="yellow"/>
          <w:lang w:val="en-US" w:eastAsia="pt-BR"/>
        </w:rPr>
        <w:t>Woessmann</w:t>
      </w:r>
      <w:proofErr w:type="spellEnd"/>
      <w:r w:rsidRPr="002C7F50">
        <w:rPr>
          <w:rFonts w:ascii="Garamond" w:eastAsia="Times New Roman" w:hAnsi="Garamond"/>
          <w:sz w:val="24"/>
          <w:szCs w:val="24"/>
          <w:highlight w:val="yellow"/>
          <w:lang w:val="en-US" w:eastAsia="pt-BR"/>
        </w:rPr>
        <w:t xml:space="preserve"> (Eds.), Handbook of the Economics of Education.</w:t>
      </w:r>
      <w:proofErr w:type="gramEnd"/>
      <w:r w:rsidRPr="002C7F50">
        <w:rPr>
          <w:rFonts w:ascii="Garamond" w:eastAsia="Times New Roman" w:hAnsi="Garamond"/>
          <w:sz w:val="24"/>
          <w:szCs w:val="24"/>
          <w:highlight w:val="yellow"/>
          <w:lang w:val="en-US" w:eastAsia="pt-BR"/>
        </w:rPr>
        <w:t xml:space="preserve"> Vol. 3, p. 89–200. Amsterdam: North Holland. 2011a</w:t>
      </w:r>
      <w:proofErr w:type="gramStart"/>
      <w:r w:rsidRPr="002C7F50">
        <w:rPr>
          <w:rFonts w:ascii="Garamond" w:eastAsia="Times New Roman" w:hAnsi="Garamond"/>
          <w:sz w:val="24"/>
          <w:szCs w:val="24"/>
          <w:highlight w:val="yellow"/>
          <w:lang w:val="en-US" w:eastAsia="pt-BR"/>
        </w:rPr>
        <w:t>.</w:t>
      </w:r>
      <w:proofErr w:type="gramEnd"/>
      <w:r w:rsidRPr="002C7F50">
        <w:rPr>
          <w:rFonts w:ascii="Garamond" w:eastAsia="Times New Roman" w:hAnsi="Garamond"/>
          <w:sz w:val="24"/>
          <w:szCs w:val="24"/>
          <w:highlight w:val="yellow"/>
          <w:lang w:val="en-US" w:eastAsia="pt-BR"/>
        </w:rPr>
        <w:br/>
        <w:t xml:space="preserve">HANUSHEK, E. A., e WOESSMANN, L. How much do educational outcomes matter in OECD countries? </w:t>
      </w:r>
      <w:proofErr w:type="gramStart"/>
      <w:r w:rsidRPr="002C7F50">
        <w:rPr>
          <w:rFonts w:ascii="Garamond" w:eastAsia="Times New Roman" w:hAnsi="Garamond"/>
          <w:sz w:val="24"/>
          <w:szCs w:val="24"/>
          <w:highlight w:val="yellow"/>
          <w:lang w:val="en-US" w:eastAsia="pt-BR"/>
        </w:rPr>
        <w:t>Economic Policy.</w:t>
      </w:r>
      <w:proofErr w:type="gramEnd"/>
      <w:r w:rsidRPr="002C7F50">
        <w:rPr>
          <w:rFonts w:ascii="Garamond" w:eastAsia="Times New Roman" w:hAnsi="Garamond"/>
          <w:sz w:val="24"/>
          <w:szCs w:val="24"/>
          <w:highlight w:val="yellow"/>
          <w:lang w:val="en-US" w:eastAsia="pt-BR"/>
        </w:rPr>
        <w:t xml:space="preserve"> </w:t>
      </w:r>
      <w:proofErr w:type="gramStart"/>
      <w:r w:rsidRPr="002C7F50">
        <w:rPr>
          <w:rFonts w:ascii="Garamond" w:eastAsia="Times New Roman" w:hAnsi="Garamond"/>
          <w:sz w:val="24"/>
          <w:szCs w:val="24"/>
          <w:highlight w:val="yellow"/>
          <w:lang w:val="en-US" w:eastAsia="pt-BR"/>
        </w:rPr>
        <w:t>Vol. 26.</w:t>
      </w:r>
      <w:proofErr w:type="gramEnd"/>
      <w:r w:rsidRPr="002C7F50">
        <w:rPr>
          <w:rFonts w:ascii="Garamond" w:eastAsia="Times New Roman" w:hAnsi="Garamond"/>
          <w:sz w:val="24"/>
          <w:szCs w:val="24"/>
          <w:highlight w:val="yellow"/>
          <w:lang w:val="en-US" w:eastAsia="pt-BR"/>
        </w:rPr>
        <w:t xml:space="preserve"> No 67, p. 427–491. 2011b. </w:t>
      </w:r>
    </w:p>
    <w:p w:rsidR="001925EF" w:rsidRPr="002C7F50" w:rsidRDefault="001925EF" w:rsidP="001925EF">
      <w:pPr>
        <w:spacing w:after="0"/>
        <w:jc w:val="both"/>
        <w:rPr>
          <w:rFonts w:ascii="Garamond" w:hAnsi="Garamond"/>
          <w:sz w:val="24"/>
          <w:szCs w:val="24"/>
        </w:rPr>
      </w:pPr>
      <w:r w:rsidRPr="002C7F50">
        <w:rPr>
          <w:rFonts w:ascii="Garamond" w:eastAsia="Times New Roman" w:hAnsi="Garamond"/>
          <w:sz w:val="24"/>
          <w:szCs w:val="24"/>
          <w:highlight w:val="yellow"/>
          <w:lang w:val="en-US" w:eastAsia="pt-BR"/>
        </w:rPr>
        <w:t xml:space="preserve">HANUSHEK, E. A., e WOESSMANN, L. Schooling, educational achievement, and the Latin American growth puzzle. </w:t>
      </w:r>
      <w:proofErr w:type="spellStart"/>
      <w:r w:rsidRPr="002C7F50">
        <w:rPr>
          <w:rFonts w:ascii="Garamond" w:eastAsia="Times New Roman" w:hAnsi="Garamond"/>
          <w:sz w:val="24"/>
          <w:szCs w:val="24"/>
          <w:highlight w:val="yellow"/>
          <w:lang w:eastAsia="pt-BR"/>
        </w:rPr>
        <w:t>Journal</w:t>
      </w:r>
      <w:proofErr w:type="spellEnd"/>
      <w:r w:rsidRPr="002C7F50">
        <w:rPr>
          <w:rFonts w:ascii="Garamond" w:eastAsia="Times New Roman" w:hAnsi="Garamond"/>
          <w:sz w:val="24"/>
          <w:szCs w:val="24"/>
          <w:highlight w:val="yellow"/>
          <w:lang w:eastAsia="pt-BR"/>
        </w:rPr>
        <w:t xml:space="preserve"> </w:t>
      </w:r>
      <w:proofErr w:type="spellStart"/>
      <w:r w:rsidRPr="002C7F50">
        <w:rPr>
          <w:rFonts w:ascii="Garamond" w:eastAsia="Times New Roman" w:hAnsi="Garamond"/>
          <w:sz w:val="24"/>
          <w:szCs w:val="24"/>
          <w:highlight w:val="yellow"/>
          <w:lang w:eastAsia="pt-BR"/>
        </w:rPr>
        <w:t>of</w:t>
      </w:r>
      <w:proofErr w:type="spellEnd"/>
      <w:r w:rsidRPr="002C7F50">
        <w:rPr>
          <w:rFonts w:ascii="Garamond" w:eastAsia="Times New Roman" w:hAnsi="Garamond"/>
          <w:sz w:val="24"/>
          <w:szCs w:val="24"/>
          <w:highlight w:val="yellow"/>
          <w:lang w:eastAsia="pt-BR"/>
        </w:rPr>
        <w:t xml:space="preserve"> </w:t>
      </w:r>
      <w:proofErr w:type="spellStart"/>
      <w:r w:rsidRPr="002C7F50">
        <w:rPr>
          <w:rFonts w:ascii="Garamond" w:eastAsia="Times New Roman" w:hAnsi="Garamond"/>
          <w:sz w:val="24"/>
          <w:szCs w:val="24"/>
          <w:highlight w:val="yellow"/>
          <w:lang w:eastAsia="pt-BR"/>
        </w:rPr>
        <w:t>Development</w:t>
      </w:r>
      <w:proofErr w:type="spellEnd"/>
      <w:r w:rsidRPr="002C7F50">
        <w:rPr>
          <w:rFonts w:ascii="Garamond" w:eastAsia="Times New Roman" w:hAnsi="Garamond"/>
          <w:sz w:val="24"/>
          <w:szCs w:val="24"/>
          <w:highlight w:val="yellow"/>
          <w:lang w:eastAsia="pt-BR"/>
        </w:rPr>
        <w:t xml:space="preserve"> </w:t>
      </w:r>
      <w:proofErr w:type="spellStart"/>
      <w:r w:rsidRPr="002C7F50">
        <w:rPr>
          <w:rFonts w:ascii="Garamond" w:eastAsia="Times New Roman" w:hAnsi="Garamond"/>
          <w:sz w:val="24"/>
          <w:szCs w:val="24"/>
          <w:highlight w:val="yellow"/>
          <w:lang w:eastAsia="pt-BR"/>
        </w:rPr>
        <w:t>Economics</w:t>
      </w:r>
      <w:proofErr w:type="spellEnd"/>
      <w:r w:rsidRPr="002C7F50">
        <w:rPr>
          <w:rFonts w:ascii="Garamond" w:eastAsia="Times New Roman" w:hAnsi="Garamond"/>
          <w:sz w:val="24"/>
          <w:szCs w:val="24"/>
          <w:highlight w:val="yellow"/>
          <w:lang w:eastAsia="pt-BR"/>
        </w:rPr>
        <w:t>. Vol. 99, p. 497– 512. 2012.</w:t>
      </w:r>
    </w:p>
    <w:p w:rsidR="00C807F6" w:rsidRPr="002C7F50" w:rsidRDefault="00C807F6" w:rsidP="00310943">
      <w:pPr>
        <w:spacing w:after="0"/>
        <w:jc w:val="both"/>
        <w:rPr>
          <w:rFonts w:ascii="Garamond" w:hAnsi="Garamond"/>
          <w:i/>
          <w:sz w:val="24"/>
          <w:szCs w:val="24"/>
        </w:rPr>
      </w:pPr>
    </w:p>
    <w:p w:rsidR="001925EF" w:rsidRPr="002C7F50" w:rsidRDefault="001925EF"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 xml:space="preserve">4 – </w:t>
      </w:r>
      <w:r w:rsidR="00310943" w:rsidRPr="002C7F50">
        <w:rPr>
          <w:rFonts w:ascii="Garamond" w:eastAsia="Times New Roman" w:hAnsi="Garamond"/>
          <w:sz w:val="24"/>
          <w:szCs w:val="24"/>
          <w:lang w:eastAsia="pt-BR"/>
        </w:rPr>
        <w:t xml:space="preserve">O ponto levantado no último parágrafo é crucial para estimações de modelos que envolvem renda per capita e capital humano. Está bem documentado na literatura de crescimento econômico que o capital humano endógeno na equação que o coloca como variável explicativa de renda per capita. Este fato faz com que as condições de momento das variáveis de capital humano com o termo de erro sejam diferentes de zero. Usualmente, pesquisadores da área buscam variáveis instrumentais para capital humano. Toda a parte econométrica do presente estudo fica </w:t>
      </w:r>
      <w:proofErr w:type="gramStart"/>
      <w:r w:rsidR="00310943" w:rsidRPr="002C7F50">
        <w:rPr>
          <w:rFonts w:ascii="Garamond" w:eastAsia="Times New Roman" w:hAnsi="Garamond"/>
          <w:sz w:val="24"/>
          <w:szCs w:val="24"/>
          <w:lang w:eastAsia="pt-BR"/>
        </w:rPr>
        <w:t>sob suspeita</w:t>
      </w:r>
      <w:proofErr w:type="gramEnd"/>
      <w:r w:rsidR="00310943" w:rsidRPr="002C7F50">
        <w:rPr>
          <w:rFonts w:ascii="Garamond" w:eastAsia="Times New Roman" w:hAnsi="Garamond"/>
          <w:sz w:val="24"/>
          <w:szCs w:val="24"/>
          <w:lang w:eastAsia="pt-BR"/>
        </w:rPr>
        <w:t xml:space="preserve"> em decorrência da inclusão de variáveis de capital humano sem alguma </w:t>
      </w:r>
      <w:r w:rsidR="00310943" w:rsidRPr="002C7F50">
        <w:rPr>
          <w:rFonts w:ascii="Garamond" w:eastAsia="Times New Roman" w:hAnsi="Garamond"/>
          <w:sz w:val="24"/>
          <w:szCs w:val="24"/>
          <w:lang w:eastAsia="pt-BR"/>
        </w:rPr>
        <w:lastRenderedPageBreak/>
        <w:t xml:space="preserve">estratégia de identificação que busque superar o problema de </w:t>
      </w:r>
      <w:proofErr w:type="spellStart"/>
      <w:r w:rsidR="00310943" w:rsidRPr="002C7F50">
        <w:rPr>
          <w:rFonts w:ascii="Garamond" w:eastAsia="Times New Roman" w:hAnsi="Garamond"/>
          <w:sz w:val="24"/>
          <w:szCs w:val="24"/>
          <w:lang w:eastAsia="pt-BR"/>
        </w:rPr>
        <w:t>endogeneidade</w:t>
      </w:r>
      <w:proofErr w:type="spellEnd"/>
      <w:r w:rsidR="00310943" w:rsidRPr="002C7F50">
        <w:rPr>
          <w:rFonts w:ascii="Garamond" w:eastAsia="Times New Roman" w:hAnsi="Garamond"/>
          <w:sz w:val="24"/>
          <w:szCs w:val="24"/>
          <w:lang w:eastAsia="pt-BR"/>
        </w:rPr>
        <w:t xml:space="preserve">. É possível que todos os estimadores sejam inconsistentes em decorrência deste fato. </w:t>
      </w:r>
    </w:p>
    <w:p w:rsidR="001F0C55" w:rsidRPr="002C7F50" w:rsidRDefault="001F0C55" w:rsidP="00310943">
      <w:pPr>
        <w:spacing w:after="0"/>
        <w:jc w:val="both"/>
        <w:rPr>
          <w:rFonts w:ascii="Garamond" w:eastAsia="Times New Roman" w:hAnsi="Garamond"/>
          <w:sz w:val="24"/>
          <w:szCs w:val="24"/>
          <w:lang w:eastAsia="pt-BR"/>
        </w:rPr>
      </w:pPr>
    </w:p>
    <w:p w:rsidR="00D70271" w:rsidRPr="002C7F50" w:rsidRDefault="001F0C55" w:rsidP="00310943">
      <w:pPr>
        <w:spacing w:after="0"/>
        <w:jc w:val="both"/>
        <w:rPr>
          <w:rFonts w:ascii="Garamond" w:hAnsi="Garamond"/>
          <w:i/>
          <w:sz w:val="24"/>
          <w:szCs w:val="24"/>
        </w:rPr>
      </w:pPr>
      <w:r w:rsidRPr="002C7F50">
        <w:rPr>
          <w:rFonts w:ascii="Garamond" w:hAnsi="Garamond"/>
          <w:i/>
          <w:sz w:val="24"/>
          <w:szCs w:val="24"/>
        </w:rPr>
        <w:t xml:space="preserve">Resposta: De fato, a discussão em torno do tratamento da </w:t>
      </w:r>
      <w:proofErr w:type="spellStart"/>
      <w:r w:rsidRPr="002C7F50">
        <w:rPr>
          <w:rFonts w:ascii="Garamond" w:hAnsi="Garamond"/>
          <w:i/>
          <w:sz w:val="24"/>
          <w:szCs w:val="24"/>
        </w:rPr>
        <w:t>endogeneidade</w:t>
      </w:r>
      <w:proofErr w:type="spellEnd"/>
      <w:r w:rsidRPr="002C7F50">
        <w:rPr>
          <w:rFonts w:ascii="Garamond" w:hAnsi="Garamond"/>
          <w:i/>
          <w:sz w:val="24"/>
          <w:szCs w:val="24"/>
        </w:rPr>
        <w:t xml:space="preserve"> do capital humano em modelos que explicam renda</w:t>
      </w:r>
      <w:r w:rsidR="00D92D64" w:rsidRPr="002C7F50">
        <w:rPr>
          <w:rFonts w:ascii="Garamond" w:hAnsi="Garamond"/>
          <w:i/>
          <w:sz w:val="24"/>
          <w:szCs w:val="24"/>
        </w:rPr>
        <w:t xml:space="preserve"> per capita (via função de produção)</w:t>
      </w:r>
      <w:r w:rsidRPr="002C7F50">
        <w:rPr>
          <w:rFonts w:ascii="Garamond" w:hAnsi="Garamond"/>
          <w:i/>
          <w:sz w:val="24"/>
          <w:szCs w:val="24"/>
        </w:rPr>
        <w:t xml:space="preserve"> ou em equação de salários é bastante intensa. Para a estimação de equações de salários, a literatura e as técnicas econométricas apresentaram maiores avanços</w:t>
      </w:r>
      <w:r w:rsidR="00D92D64" w:rsidRPr="002C7F50">
        <w:rPr>
          <w:rFonts w:ascii="Garamond" w:hAnsi="Garamond"/>
          <w:i/>
          <w:sz w:val="24"/>
          <w:szCs w:val="24"/>
        </w:rPr>
        <w:t>,</w:t>
      </w:r>
      <w:r w:rsidRPr="002C7F50">
        <w:rPr>
          <w:rFonts w:ascii="Garamond" w:hAnsi="Garamond"/>
          <w:i/>
          <w:sz w:val="24"/>
          <w:szCs w:val="24"/>
        </w:rPr>
        <w:t xml:space="preserve"> como o método de Heckman em dois estágios, por exemplo. Entretanto, em estudos que estimam funções de produção agregadas a </w:t>
      </w:r>
      <w:proofErr w:type="spellStart"/>
      <w:proofErr w:type="gramStart"/>
      <w:r w:rsidRPr="002C7F50">
        <w:rPr>
          <w:rFonts w:ascii="Garamond" w:hAnsi="Garamond"/>
          <w:i/>
          <w:sz w:val="24"/>
          <w:szCs w:val="24"/>
        </w:rPr>
        <w:t>la</w:t>
      </w:r>
      <w:proofErr w:type="spellEnd"/>
      <w:proofErr w:type="gramEnd"/>
      <w:r w:rsidRPr="002C7F50">
        <w:rPr>
          <w:rFonts w:ascii="Garamond" w:hAnsi="Garamond"/>
          <w:i/>
          <w:sz w:val="24"/>
          <w:szCs w:val="24"/>
        </w:rPr>
        <w:t xml:space="preserve"> </w:t>
      </w:r>
      <w:proofErr w:type="spellStart"/>
      <w:r w:rsidRPr="002C7F50">
        <w:rPr>
          <w:rFonts w:ascii="Garamond" w:hAnsi="Garamond"/>
          <w:i/>
          <w:sz w:val="24"/>
          <w:szCs w:val="24"/>
        </w:rPr>
        <w:t>Mankiw</w:t>
      </w:r>
      <w:proofErr w:type="spellEnd"/>
      <w:r w:rsidRPr="002C7F50">
        <w:rPr>
          <w:rFonts w:ascii="Garamond" w:hAnsi="Garamond"/>
          <w:i/>
          <w:sz w:val="24"/>
          <w:szCs w:val="24"/>
        </w:rPr>
        <w:t xml:space="preserve">, </w:t>
      </w:r>
      <w:proofErr w:type="spellStart"/>
      <w:r w:rsidRPr="002C7F50">
        <w:rPr>
          <w:rFonts w:ascii="Garamond" w:hAnsi="Garamond"/>
          <w:i/>
          <w:sz w:val="24"/>
          <w:szCs w:val="24"/>
        </w:rPr>
        <w:t>Romer</w:t>
      </w:r>
      <w:proofErr w:type="spellEnd"/>
      <w:r w:rsidRPr="002C7F50">
        <w:rPr>
          <w:rFonts w:ascii="Garamond" w:hAnsi="Garamond"/>
          <w:i/>
          <w:sz w:val="24"/>
          <w:szCs w:val="24"/>
        </w:rPr>
        <w:t xml:space="preserve"> e Weill (1992</w:t>
      </w:r>
      <w:r w:rsidRPr="002C7F50">
        <w:rPr>
          <w:rStyle w:val="longtext"/>
          <w:rFonts w:ascii="Garamond" w:hAnsi="Garamond"/>
          <w:i/>
          <w:sz w:val="24"/>
          <w:szCs w:val="24"/>
          <w:lang w:val="pt-PT"/>
        </w:rPr>
        <w:t>),</w:t>
      </w:r>
      <w:r w:rsidRPr="002C7F50">
        <w:rPr>
          <w:rFonts w:ascii="Garamond" w:hAnsi="Garamond"/>
          <w:i/>
          <w:sz w:val="24"/>
          <w:szCs w:val="24"/>
        </w:rPr>
        <w:t xml:space="preserve"> como a maior parte dos trabalhos citados no artigo, apresentam maiores dificuldades em controlar efeitos de </w:t>
      </w:r>
      <w:proofErr w:type="spellStart"/>
      <w:r w:rsidRPr="002C7F50">
        <w:rPr>
          <w:rFonts w:ascii="Garamond" w:hAnsi="Garamond"/>
          <w:i/>
          <w:sz w:val="24"/>
          <w:szCs w:val="24"/>
        </w:rPr>
        <w:t>endogeneidade</w:t>
      </w:r>
      <w:proofErr w:type="spellEnd"/>
      <w:r w:rsidRPr="002C7F50">
        <w:rPr>
          <w:rFonts w:ascii="Garamond" w:hAnsi="Garamond"/>
          <w:i/>
          <w:sz w:val="24"/>
          <w:szCs w:val="24"/>
        </w:rPr>
        <w:t xml:space="preserve"> do capital humano</w:t>
      </w:r>
      <w:r w:rsidR="00805E89" w:rsidRPr="002C7F50">
        <w:rPr>
          <w:rFonts w:ascii="Garamond" w:hAnsi="Garamond"/>
          <w:i/>
          <w:sz w:val="24"/>
          <w:szCs w:val="24"/>
        </w:rPr>
        <w:t xml:space="preserve"> e nem sequer a consideraram</w:t>
      </w:r>
      <w:r w:rsidRPr="002C7F50">
        <w:rPr>
          <w:rFonts w:ascii="Garamond" w:hAnsi="Garamond"/>
          <w:i/>
          <w:sz w:val="24"/>
          <w:szCs w:val="24"/>
        </w:rPr>
        <w:t xml:space="preserve">. </w:t>
      </w:r>
    </w:p>
    <w:p w:rsidR="00D92D64" w:rsidRPr="002C7F50" w:rsidRDefault="001F0C55" w:rsidP="00D92D64">
      <w:pPr>
        <w:tabs>
          <w:tab w:val="left" w:pos="0"/>
        </w:tabs>
        <w:spacing w:after="0" w:line="240" w:lineRule="auto"/>
        <w:ind w:firstLine="851"/>
        <w:jc w:val="both"/>
        <w:rPr>
          <w:rFonts w:ascii="Garamond" w:hAnsi="Garamond"/>
          <w:i/>
          <w:sz w:val="24"/>
          <w:szCs w:val="24"/>
        </w:rPr>
      </w:pPr>
      <w:r w:rsidRPr="002C7F50">
        <w:rPr>
          <w:rFonts w:ascii="Garamond" w:hAnsi="Garamond"/>
          <w:i/>
          <w:sz w:val="24"/>
          <w:szCs w:val="24"/>
        </w:rPr>
        <w:t>Apesar disso, estudos recentes fazem uso do</w:t>
      </w:r>
      <w:r w:rsidR="00D70271" w:rsidRPr="002C7F50">
        <w:rPr>
          <w:rFonts w:ascii="Garamond" w:hAnsi="Garamond"/>
          <w:i/>
          <w:sz w:val="24"/>
          <w:szCs w:val="24"/>
        </w:rPr>
        <w:t xml:space="preserve"> método</w:t>
      </w:r>
      <w:r w:rsidRPr="002C7F50">
        <w:rPr>
          <w:rFonts w:ascii="Garamond" w:hAnsi="Garamond"/>
          <w:i/>
          <w:sz w:val="24"/>
          <w:szCs w:val="24"/>
        </w:rPr>
        <w:t xml:space="preserve"> System-GMM</w:t>
      </w:r>
      <w:r w:rsidR="00D70271" w:rsidRPr="002C7F50">
        <w:rPr>
          <w:rFonts w:ascii="Garamond" w:hAnsi="Garamond"/>
          <w:i/>
          <w:sz w:val="24"/>
          <w:szCs w:val="24"/>
        </w:rPr>
        <w:t xml:space="preserve"> para painéis dinâmicos</w:t>
      </w:r>
      <w:r w:rsidRPr="002C7F50">
        <w:rPr>
          <w:rFonts w:ascii="Garamond" w:hAnsi="Garamond"/>
          <w:i/>
          <w:sz w:val="24"/>
          <w:szCs w:val="24"/>
        </w:rPr>
        <w:t xml:space="preserve"> como Arruda (2013)</w:t>
      </w:r>
      <w:r w:rsidR="00D70271" w:rsidRPr="002C7F50">
        <w:rPr>
          <w:rFonts w:ascii="Garamond" w:hAnsi="Garamond"/>
          <w:i/>
          <w:sz w:val="24"/>
          <w:szCs w:val="24"/>
        </w:rPr>
        <w:t xml:space="preserve"> e </w:t>
      </w:r>
      <w:proofErr w:type="spellStart"/>
      <w:r w:rsidR="00D70271" w:rsidRPr="002C7F50">
        <w:rPr>
          <w:rFonts w:ascii="Garamond" w:hAnsi="Garamond"/>
          <w:i/>
          <w:sz w:val="24"/>
          <w:szCs w:val="24"/>
        </w:rPr>
        <w:t>Daumal</w:t>
      </w:r>
      <w:proofErr w:type="spellEnd"/>
      <w:r w:rsidR="00D70271" w:rsidRPr="002C7F50">
        <w:rPr>
          <w:rFonts w:ascii="Garamond" w:hAnsi="Garamond"/>
          <w:i/>
          <w:sz w:val="24"/>
          <w:szCs w:val="24"/>
        </w:rPr>
        <w:t xml:space="preserve"> e </w:t>
      </w:r>
      <w:proofErr w:type="spellStart"/>
      <w:r w:rsidR="00D70271" w:rsidRPr="002C7F50">
        <w:rPr>
          <w:rFonts w:ascii="Garamond" w:hAnsi="Garamond"/>
          <w:i/>
          <w:sz w:val="24"/>
          <w:szCs w:val="24"/>
        </w:rPr>
        <w:t>Özyurt</w:t>
      </w:r>
      <w:proofErr w:type="spellEnd"/>
      <w:r w:rsidR="00D70271" w:rsidRPr="002C7F50">
        <w:rPr>
          <w:rFonts w:ascii="Garamond" w:hAnsi="Garamond"/>
          <w:i/>
          <w:sz w:val="24"/>
          <w:szCs w:val="24"/>
        </w:rPr>
        <w:t xml:space="preserve"> (2011) onde pode tentar instrumentalizar a variável de capital humano por suas defasagens. A técnica basicamente se resume em compor um sistema que combine as equações em nível, (1), e em primeira diferença, (2), utilizando-se como instrumentos as variáveis em primeira diferença defasadas para a equação em nível e as variáveis em nível defasadas para a equação em primeira diferença, como sugerido por </w:t>
      </w:r>
      <w:proofErr w:type="spellStart"/>
      <w:r w:rsidR="00D70271" w:rsidRPr="002C7F50">
        <w:rPr>
          <w:rFonts w:ascii="Garamond" w:hAnsi="Garamond"/>
          <w:i/>
          <w:sz w:val="24"/>
          <w:szCs w:val="24"/>
        </w:rPr>
        <w:t>Arellano</w:t>
      </w:r>
      <w:proofErr w:type="spellEnd"/>
      <w:r w:rsidR="00D70271" w:rsidRPr="002C7F50">
        <w:rPr>
          <w:rFonts w:ascii="Garamond" w:hAnsi="Garamond"/>
          <w:i/>
          <w:sz w:val="24"/>
          <w:szCs w:val="24"/>
        </w:rPr>
        <w:t xml:space="preserve"> e </w:t>
      </w:r>
      <w:proofErr w:type="spellStart"/>
      <w:r w:rsidR="00D70271" w:rsidRPr="002C7F50">
        <w:rPr>
          <w:rFonts w:ascii="Garamond" w:hAnsi="Garamond"/>
          <w:i/>
          <w:sz w:val="24"/>
          <w:szCs w:val="24"/>
        </w:rPr>
        <w:t>Bover</w:t>
      </w:r>
      <w:proofErr w:type="spellEnd"/>
      <w:r w:rsidR="00D70271" w:rsidRPr="002C7F50">
        <w:rPr>
          <w:rFonts w:ascii="Garamond" w:hAnsi="Garamond"/>
          <w:i/>
          <w:sz w:val="24"/>
          <w:szCs w:val="24"/>
        </w:rPr>
        <w:t xml:space="preserve"> (1995) e </w:t>
      </w:r>
      <w:proofErr w:type="spellStart"/>
      <w:r w:rsidR="00D70271" w:rsidRPr="002C7F50">
        <w:rPr>
          <w:rFonts w:ascii="Garamond" w:hAnsi="Garamond"/>
          <w:i/>
          <w:sz w:val="24"/>
          <w:szCs w:val="24"/>
        </w:rPr>
        <w:t>Blundell</w:t>
      </w:r>
      <w:proofErr w:type="spellEnd"/>
      <w:r w:rsidR="00D70271" w:rsidRPr="002C7F50">
        <w:rPr>
          <w:rFonts w:ascii="Garamond" w:hAnsi="Garamond"/>
          <w:i/>
          <w:sz w:val="24"/>
          <w:szCs w:val="24"/>
        </w:rPr>
        <w:t xml:space="preserve"> e Bond (1998).</w:t>
      </w:r>
    </w:p>
    <w:p w:rsidR="00D92D64" w:rsidRPr="002C7F50" w:rsidRDefault="00D70271" w:rsidP="00D92D64">
      <w:pPr>
        <w:tabs>
          <w:tab w:val="left" w:pos="0"/>
        </w:tabs>
        <w:spacing w:after="0" w:line="240" w:lineRule="auto"/>
        <w:ind w:firstLine="851"/>
        <w:jc w:val="both"/>
        <w:rPr>
          <w:rFonts w:ascii="Garamond" w:hAnsi="Garamond"/>
          <w:i/>
          <w:sz w:val="24"/>
          <w:szCs w:val="24"/>
        </w:rPr>
      </w:pPr>
      <w:r w:rsidRPr="002C7F50">
        <w:rPr>
          <w:rFonts w:ascii="Garamond" w:hAnsi="Garamond"/>
          <w:i/>
          <w:sz w:val="24"/>
          <w:szCs w:val="24"/>
        </w:rPr>
        <w:t>O Presente estudo segue a linha desses últimos, ao propor o System-GMM como alternativa para tentar contornar esse problema</w:t>
      </w:r>
      <w:r w:rsidR="00805E89" w:rsidRPr="002C7F50">
        <w:rPr>
          <w:rFonts w:ascii="Garamond" w:hAnsi="Garamond"/>
          <w:i/>
          <w:sz w:val="24"/>
          <w:szCs w:val="24"/>
        </w:rPr>
        <w:t xml:space="preserve"> e considerar a </w:t>
      </w:r>
      <w:proofErr w:type="spellStart"/>
      <w:r w:rsidR="00805E89" w:rsidRPr="002C7F50">
        <w:rPr>
          <w:rFonts w:ascii="Garamond" w:hAnsi="Garamond"/>
          <w:i/>
          <w:sz w:val="24"/>
          <w:szCs w:val="24"/>
        </w:rPr>
        <w:t>endogeneidade</w:t>
      </w:r>
      <w:proofErr w:type="spellEnd"/>
      <w:r w:rsidR="00805E89" w:rsidRPr="002C7F50">
        <w:rPr>
          <w:rFonts w:ascii="Garamond" w:hAnsi="Garamond"/>
          <w:i/>
          <w:sz w:val="24"/>
          <w:szCs w:val="24"/>
        </w:rPr>
        <w:t xml:space="preserve"> do capital humano</w:t>
      </w:r>
      <w:r w:rsidRPr="002C7F50">
        <w:rPr>
          <w:rFonts w:ascii="Garamond" w:hAnsi="Garamond"/>
          <w:i/>
          <w:sz w:val="24"/>
          <w:szCs w:val="24"/>
        </w:rPr>
        <w:t>.</w:t>
      </w:r>
      <w:r w:rsidR="00D92D64" w:rsidRPr="002C7F50">
        <w:rPr>
          <w:rFonts w:ascii="Garamond" w:hAnsi="Garamond"/>
          <w:i/>
          <w:sz w:val="24"/>
          <w:szCs w:val="24"/>
        </w:rPr>
        <w:t xml:space="preserve"> Primeiramente percebe-se que, nos modelos em questão, as variáveis apresentaram os sinais previstos pela teoria.</w:t>
      </w:r>
      <w:r w:rsidRPr="002C7F50">
        <w:rPr>
          <w:rFonts w:ascii="Garamond" w:hAnsi="Garamond"/>
          <w:i/>
          <w:sz w:val="24"/>
          <w:szCs w:val="24"/>
        </w:rPr>
        <w:t xml:space="preserve"> E, além</w:t>
      </w:r>
      <w:r w:rsidR="00D92D64" w:rsidRPr="002C7F50">
        <w:rPr>
          <w:rFonts w:ascii="Garamond" w:hAnsi="Garamond"/>
          <w:i/>
          <w:sz w:val="24"/>
          <w:szCs w:val="24"/>
        </w:rPr>
        <w:t xml:space="preserve"> disso,</w:t>
      </w:r>
      <w:r w:rsidRPr="002C7F50">
        <w:rPr>
          <w:rFonts w:ascii="Garamond" w:hAnsi="Garamond"/>
          <w:i/>
          <w:sz w:val="24"/>
          <w:szCs w:val="24"/>
        </w:rPr>
        <w:t xml:space="preserve"> o coeficiente</w:t>
      </w:r>
      <w:r w:rsidR="00D92D64" w:rsidRPr="002C7F50">
        <w:rPr>
          <w:rFonts w:ascii="Garamond" w:hAnsi="Garamond"/>
          <w:i/>
          <w:sz w:val="24"/>
          <w:szCs w:val="24"/>
        </w:rPr>
        <w:t xml:space="preserve"> estimado</w:t>
      </w:r>
      <w:r w:rsidRPr="002C7F50">
        <w:rPr>
          <w:rFonts w:ascii="Garamond" w:hAnsi="Garamond"/>
          <w:i/>
          <w:sz w:val="24"/>
          <w:szCs w:val="24"/>
        </w:rPr>
        <w:t xml:space="preserve"> da variável dependente defasada, no System-GMM</w:t>
      </w:r>
      <w:r w:rsidR="00D92D64" w:rsidRPr="002C7F50">
        <w:rPr>
          <w:rFonts w:ascii="Garamond" w:hAnsi="Garamond"/>
          <w:i/>
          <w:sz w:val="24"/>
          <w:szCs w:val="24"/>
        </w:rPr>
        <w:t xml:space="preserve"> em ambos os modelos</w:t>
      </w:r>
      <w:r w:rsidRPr="002C7F50">
        <w:rPr>
          <w:rFonts w:ascii="Garamond" w:hAnsi="Garamond"/>
          <w:i/>
          <w:sz w:val="24"/>
          <w:szCs w:val="24"/>
        </w:rPr>
        <w:t xml:space="preserve">, </w:t>
      </w:r>
      <w:r w:rsidR="00D92D64" w:rsidRPr="002C7F50">
        <w:rPr>
          <w:rFonts w:ascii="Garamond" w:hAnsi="Garamond"/>
          <w:i/>
          <w:sz w:val="24"/>
          <w:szCs w:val="24"/>
        </w:rPr>
        <w:t xml:space="preserve">está </w:t>
      </w:r>
      <w:r w:rsidRPr="002C7F50">
        <w:rPr>
          <w:rFonts w:ascii="Garamond" w:hAnsi="Garamond"/>
          <w:i/>
          <w:sz w:val="24"/>
          <w:szCs w:val="24"/>
        </w:rPr>
        <w:t xml:space="preserve">exatamente entre os limites das estimações via </w:t>
      </w:r>
      <w:proofErr w:type="spellStart"/>
      <w:r w:rsidRPr="002C7F50">
        <w:rPr>
          <w:rFonts w:ascii="Garamond" w:hAnsi="Garamond"/>
          <w:i/>
          <w:sz w:val="24"/>
          <w:szCs w:val="24"/>
        </w:rPr>
        <w:t>Pooled</w:t>
      </w:r>
      <w:proofErr w:type="spellEnd"/>
      <w:r w:rsidR="00D92D64" w:rsidRPr="002C7F50">
        <w:rPr>
          <w:rFonts w:ascii="Garamond" w:hAnsi="Garamond"/>
          <w:i/>
          <w:sz w:val="24"/>
          <w:szCs w:val="24"/>
        </w:rPr>
        <w:t xml:space="preserve"> (MQO)</w:t>
      </w:r>
      <w:r w:rsidRPr="002C7F50">
        <w:rPr>
          <w:rFonts w:ascii="Garamond" w:hAnsi="Garamond"/>
          <w:i/>
          <w:sz w:val="24"/>
          <w:szCs w:val="24"/>
        </w:rPr>
        <w:t xml:space="preserve"> e via método </w:t>
      </w:r>
      <w:proofErr w:type="spellStart"/>
      <w:r w:rsidRPr="002C7F50">
        <w:rPr>
          <w:rFonts w:ascii="Garamond" w:hAnsi="Garamond"/>
          <w:i/>
          <w:sz w:val="24"/>
          <w:szCs w:val="24"/>
        </w:rPr>
        <w:t>Within</w:t>
      </w:r>
      <w:proofErr w:type="spellEnd"/>
      <w:r w:rsidRPr="002C7F50">
        <w:rPr>
          <w:rFonts w:ascii="Garamond" w:hAnsi="Garamond"/>
          <w:i/>
          <w:sz w:val="24"/>
          <w:szCs w:val="24"/>
        </w:rPr>
        <w:t xml:space="preserve"> </w:t>
      </w:r>
      <w:proofErr w:type="spellStart"/>
      <w:r w:rsidRPr="002C7F50">
        <w:rPr>
          <w:rFonts w:ascii="Garamond" w:hAnsi="Garamond"/>
          <w:i/>
          <w:sz w:val="24"/>
          <w:szCs w:val="24"/>
        </w:rPr>
        <w:t>Groups</w:t>
      </w:r>
      <w:proofErr w:type="spellEnd"/>
      <w:r w:rsidR="00D92D64" w:rsidRPr="002C7F50">
        <w:rPr>
          <w:rFonts w:ascii="Garamond" w:hAnsi="Garamond"/>
          <w:i/>
          <w:sz w:val="24"/>
          <w:szCs w:val="24"/>
        </w:rPr>
        <w:t xml:space="preserve"> (Efeitos Fixos)</w:t>
      </w:r>
      <w:r w:rsidRPr="002C7F50">
        <w:rPr>
          <w:rFonts w:ascii="Garamond" w:hAnsi="Garamond"/>
          <w:i/>
          <w:sz w:val="24"/>
          <w:szCs w:val="24"/>
        </w:rPr>
        <w:t xml:space="preserve"> (</w:t>
      </w:r>
      <w:r w:rsidR="00805E89" w:rsidRPr="002C7F50">
        <w:rPr>
          <w:rFonts w:ascii="Garamond" w:hAnsi="Garamond"/>
          <w:i/>
          <w:sz w:val="24"/>
          <w:szCs w:val="24"/>
        </w:rPr>
        <w:t xml:space="preserve">a tabela dos resultados foi alterada para incluir também os resultados do modelo </w:t>
      </w:r>
      <w:proofErr w:type="spellStart"/>
      <w:r w:rsidR="00805E89" w:rsidRPr="002C7F50">
        <w:rPr>
          <w:rFonts w:ascii="Garamond" w:hAnsi="Garamond"/>
          <w:i/>
          <w:sz w:val="24"/>
          <w:szCs w:val="24"/>
        </w:rPr>
        <w:t>Pooled</w:t>
      </w:r>
      <w:proofErr w:type="spellEnd"/>
      <w:r w:rsidR="00805E89" w:rsidRPr="002C7F50">
        <w:rPr>
          <w:rFonts w:ascii="Garamond" w:hAnsi="Garamond"/>
          <w:i/>
          <w:sz w:val="24"/>
          <w:szCs w:val="24"/>
        </w:rPr>
        <w:t xml:space="preserve"> e de Efeitos Fixos); </w:t>
      </w:r>
      <w:r w:rsidR="007E666E" w:rsidRPr="002C7F50">
        <w:rPr>
          <w:rFonts w:ascii="Garamond" w:hAnsi="Garamond"/>
          <w:i/>
          <w:sz w:val="24"/>
          <w:szCs w:val="24"/>
        </w:rPr>
        <w:t>e sabe-se que o primeiro superestima e o segundo subestima o referido coeficiente</w:t>
      </w:r>
      <w:r w:rsidRPr="002C7F50">
        <w:rPr>
          <w:rFonts w:ascii="Garamond" w:hAnsi="Garamond"/>
          <w:i/>
          <w:sz w:val="24"/>
          <w:szCs w:val="24"/>
        </w:rPr>
        <w:t xml:space="preserve">; os testes de validade dos instrumentos de Hansen e </w:t>
      </w:r>
      <w:proofErr w:type="spellStart"/>
      <w:r w:rsidRPr="002C7F50">
        <w:rPr>
          <w:rFonts w:ascii="Garamond" w:hAnsi="Garamond"/>
          <w:i/>
          <w:sz w:val="24"/>
          <w:szCs w:val="24"/>
        </w:rPr>
        <w:t>Sargan</w:t>
      </w:r>
      <w:proofErr w:type="spellEnd"/>
      <w:r w:rsidRPr="002C7F50">
        <w:rPr>
          <w:rFonts w:ascii="Garamond" w:hAnsi="Garamond"/>
          <w:i/>
          <w:sz w:val="24"/>
          <w:szCs w:val="24"/>
        </w:rPr>
        <w:t xml:space="preserve"> não rejeitam a hipótese de que os instrumentos são válidos. E, </w:t>
      </w:r>
      <w:r w:rsidR="00D92D64" w:rsidRPr="002C7F50">
        <w:rPr>
          <w:rFonts w:ascii="Garamond" w:hAnsi="Garamond"/>
          <w:i/>
          <w:sz w:val="24"/>
          <w:szCs w:val="24"/>
        </w:rPr>
        <w:t>por fim</w:t>
      </w:r>
      <w:r w:rsidRPr="002C7F50">
        <w:rPr>
          <w:rFonts w:ascii="Garamond" w:hAnsi="Garamond"/>
          <w:i/>
          <w:sz w:val="24"/>
          <w:szCs w:val="24"/>
        </w:rPr>
        <w:t xml:space="preserve">, o teste </w:t>
      </w:r>
      <w:proofErr w:type="spellStart"/>
      <w:r w:rsidRPr="002C7F50">
        <w:rPr>
          <w:rFonts w:ascii="Garamond" w:hAnsi="Garamond"/>
          <w:i/>
          <w:sz w:val="24"/>
          <w:szCs w:val="24"/>
        </w:rPr>
        <w:t>Difference</w:t>
      </w:r>
      <w:proofErr w:type="spellEnd"/>
      <w:r w:rsidRPr="002C7F50">
        <w:rPr>
          <w:rFonts w:ascii="Garamond" w:hAnsi="Garamond"/>
          <w:i/>
          <w:sz w:val="24"/>
          <w:szCs w:val="24"/>
        </w:rPr>
        <w:t xml:space="preserve">-Hansen não rejeita a hipótese de </w:t>
      </w:r>
      <w:proofErr w:type="spellStart"/>
      <w:r w:rsidRPr="002C7F50">
        <w:rPr>
          <w:rFonts w:ascii="Garamond" w:hAnsi="Garamond"/>
          <w:i/>
          <w:sz w:val="24"/>
          <w:szCs w:val="24"/>
        </w:rPr>
        <w:t>exogeneidade</w:t>
      </w:r>
      <w:proofErr w:type="spellEnd"/>
      <w:r w:rsidRPr="002C7F50">
        <w:rPr>
          <w:rFonts w:ascii="Garamond" w:hAnsi="Garamond"/>
          <w:i/>
          <w:sz w:val="24"/>
          <w:szCs w:val="24"/>
        </w:rPr>
        <w:t xml:space="preserve"> dos instrumentos. Portanto, acredita-se que </w:t>
      </w:r>
      <w:r w:rsidR="00D92D64" w:rsidRPr="002C7F50">
        <w:rPr>
          <w:rFonts w:ascii="Garamond" w:hAnsi="Garamond"/>
          <w:i/>
          <w:sz w:val="24"/>
          <w:szCs w:val="24"/>
        </w:rPr>
        <w:t xml:space="preserve">boa parte dos efeitos da </w:t>
      </w:r>
      <w:proofErr w:type="spellStart"/>
      <w:r w:rsidR="00D92D64" w:rsidRPr="002C7F50">
        <w:rPr>
          <w:rFonts w:ascii="Garamond" w:hAnsi="Garamond"/>
          <w:i/>
          <w:sz w:val="24"/>
          <w:szCs w:val="24"/>
        </w:rPr>
        <w:t>endogeneidade</w:t>
      </w:r>
      <w:proofErr w:type="spellEnd"/>
      <w:r w:rsidR="00D92D64" w:rsidRPr="002C7F50">
        <w:rPr>
          <w:rFonts w:ascii="Garamond" w:hAnsi="Garamond"/>
          <w:i/>
          <w:sz w:val="24"/>
          <w:szCs w:val="24"/>
        </w:rPr>
        <w:t xml:space="preserve"> no modelo foram </w:t>
      </w:r>
      <w:proofErr w:type="gramStart"/>
      <w:r w:rsidR="00D92D64" w:rsidRPr="002C7F50">
        <w:rPr>
          <w:rFonts w:ascii="Garamond" w:hAnsi="Garamond"/>
          <w:i/>
          <w:sz w:val="24"/>
          <w:szCs w:val="24"/>
        </w:rPr>
        <w:t>expurgados</w:t>
      </w:r>
      <w:proofErr w:type="gramEnd"/>
      <w:r w:rsidR="00D92D64" w:rsidRPr="002C7F50">
        <w:rPr>
          <w:rFonts w:ascii="Garamond" w:hAnsi="Garamond"/>
          <w:i/>
          <w:sz w:val="24"/>
          <w:szCs w:val="24"/>
        </w:rPr>
        <w:t xml:space="preserve">, todavia, ainda se deve empregar cautela, uma vez que não há um consenso na literatura sobre qual a melhor forma de controlar possíveis efeitos de </w:t>
      </w:r>
      <w:proofErr w:type="spellStart"/>
      <w:r w:rsidR="00D92D64" w:rsidRPr="002C7F50">
        <w:rPr>
          <w:rFonts w:ascii="Garamond" w:hAnsi="Garamond"/>
          <w:i/>
          <w:sz w:val="24"/>
          <w:szCs w:val="24"/>
        </w:rPr>
        <w:t>endogeneidade</w:t>
      </w:r>
      <w:proofErr w:type="spellEnd"/>
      <w:r w:rsidR="00D92D64" w:rsidRPr="002C7F50">
        <w:rPr>
          <w:rFonts w:ascii="Garamond" w:hAnsi="Garamond"/>
          <w:i/>
          <w:sz w:val="24"/>
          <w:szCs w:val="24"/>
        </w:rPr>
        <w:t xml:space="preserve"> em modelos empíricos de função de produção agregada com capital humano.</w:t>
      </w:r>
    </w:p>
    <w:p w:rsidR="00B516DE" w:rsidRPr="002C7F50" w:rsidRDefault="00D92D64" w:rsidP="00D92D64">
      <w:pPr>
        <w:tabs>
          <w:tab w:val="left" w:pos="0"/>
        </w:tabs>
        <w:spacing w:after="0" w:line="240" w:lineRule="auto"/>
        <w:ind w:firstLine="851"/>
        <w:jc w:val="both"/>
        <w:rPr>
          <w:rFonts w:ascii="Garamond" w:hAnsi="Garamond"/>
          <w:i/>
          <w:sz w:val="24"/>
          <w:szCs w:val="24"/>
        </w:rPr>
      </w:pPr>
      <w:r w:rsidRPr="002C7F50">
        <w:rPr>
          <w:rFonts w:ascii="Garamond" w:hAnsi="Garamond"/>
          <w:i/>
          <w:sz w:val="24"/>
          <w:szCs w:val="24"/>
        </w:rPr>
        <w:t xml:space="preserve">Portanto, na seção de resultados </w:t>
      </w:r>
      <w:proofErr w:type="gramStart"/>
      <w:r w:rsidRPr="002C7F50">
        <w:rPr>
          <w:rFonts w:ascii="Garamond" w:hAnsi="Garamond"/>
          <w:i/>
          <w:sz w:val="24"/>
          <w:szCs w:val="24"/>
        </w:rPr>
        <w:t>foi</w:t>
      </w:r>
      <w:proofErr w:type="gramEnd"/>
      <w:r w:rsidRPr="002C7F50">
        <w:rPr>
          <w:rFonts w:ascii="Garamond" w:hAnsi="Garamond"/>
          <w:i/>
          <w:sz w:val="24"/>
          <w:szCs w:val="24"/>
        </w:rPr>
        <w:t xml:space="preserve"> incluída </w:t>
      </w:r>
      <w:r w:rsidR="00B516DE" w:rsidRPr="002C7F50">
        <w:rPr>
          <w:rFonts w:ascii="Garamond" w:hAnsi="Garamond"/>
          <w:i/>
          <w:sz w:val="24"/>
          <w:szCs w:val="24"/>
        </w:rPr>
        <w:t>os dois parágrafos seguintes:</w:t>
      </w:r>
    </w:p>
    <w:p w:rsidR="00B516DE" w:rsidRPr="002C7F50" w:rsidRDefault="00B516DE" w:rsidP="00D92D64">
      <w:pPr>
        <w:tabs>
          <w:tab w:val="left" w:pos="0"/>
        </w:tabs>
        <w:spacing w:after="0" w:line="240" w:lineRule="auto"/>
        <w:ind w:firstLine="851"/>
        <w:jc w:val="both"/>
        <w:rPr>
          <w:rFonts w:ascii="Garamond" w:hAnsi="Garamond"/>
          <w:i/>
          <w:sz w:val="24"/>
          <w:szCs w:val="24"/>
        </w:rPr>
      </w:pPr>
    </w:p>
    <w:p w:rsidR="00BA7C9C" w:rsidRPr="002C7F50" w:rsidRDefault="00BA7C9C" w:rsidP="00BA7C9C">
      <w:pPr>
        <w:tabs>
          <w:tab w:val="left" w:pos="0"/>
        </w:tabs>
        <w:spacing w:after="0" w:line="240" w:lineRule="auto"/>
        <w:ind w:firstLine="851"/>
        <w:jc w:val="both"/>
        <w:rPr>
          <w:rFonts w:ascii="Garamond" w:hAnsi="Garamond"/>
          <w:sz w:val="24"/>
          <w:szCs w:val="24"/>
          <w:highlight w:val="yellow"/>
        </w:rPr>
      </w:pPr>
      <w:r w:rsidRPr="002C7F50">
        <w:rPr>
          <w:rFonts w:ascii="Garamond" w:hAnsi="Garamond"/>
          <w:sz w:val="24"/>
          <w:szCs w:val="24"/>
          <w:highlight w:val="yellow"/>
        </w:rPr>
        <w:t xml:space="preserve">Os efeitos da abertura comercial e do capital humano sobre o crescimento econômico dos municípios cearenses são investigados a partir da estimação de seis regressões, as três primeiras levam em conta o capital humano com ensino fundamental, enquanto que as últimas consideram a população com ensino médio. Vale ressaltar que, em virtude viés da estimação de </w:t>
      </w:r>
      <w:proofErr w:type="spellStart"/>
      <w:r w:rsidRPr="002C7F50">
        <w:rPr>
          <w:rFonts w:ascii="Garamond" w:hAnsi="Garamond"/>
          <w:sz w:val="24"/>
          <w:szCs w:val="24"/>
          <w:highlight w:val="yellow"/>
        </w:rPr>
        <w:t>pooled</w:t>
      </w:r>
      <w:proofErr w:type="spellEnd"/>
      <w:r w:rsidRPr="002C7F50">
        <w:rPr>
          <w:rFonts w:ascii="Garamond" w:hAnsi="Garamond"/>
          <w:sz w:val="24"/>
          <w:szCs w:val="24"/>
          <w:highlight w:val="yellow"/>
        </w:rPr>
        <w:t xml:space="preserve"> e de efeitos fixos, esta seção discorrerá apenas sobre a análise das estimativas pelo método System-GMM.</w:t>
      </w:r>
    </w:p>
    <w:p w:rsidR="00BA7C9C" w:rsidRPr="002C7F50" w:rsidRDefault="00BA7C9C" w:rsidP="00BA7C9C">
      <w:pPr>
        <w:tabs>
          <w:tab w:val="left" w:pos="0"/>
        </w:tabs>
        <w:spacing w:after="0" w:line="240" w:lineRule="auto"/>
        <w:jc w:val="both"/>
        <w:rPr>
          <w:rFonts w:ascii="Garamond" w:hAnsi="Garamond"/>
          <w:sz w:val="24"/>
          <w:szCs w:val="24"/>
          <w:highlight w:val="yellow"/>
        </w:rPr>
      </w:pPr>
      <w:r w:rsidRPr="002C7F50">
        <w:rPr>
          <w:rFonts w:ascii="Garamond" w:hAnsi="Garamond"/>
          <w:sz w:val="24"/>
          <w:szCs w:val="24"/>
          <w:highlight w:val="yellow"/>
        </w:rPr>
        <w:tab/>
        <w:t xml:space="preserve">Primeiramente, a análise se atém aos testes de especificação e, em seguida, discutem-se os coeficientes. Os resultados são reportados na Tabela 4. O teste de </w:t>
      </w:r>
      <w:proofErr w:type="spellStart"/>
      <w:r w:rsidRPr="002C7F50">
        <w:rPr>
          <w:rFonts w:ascii="Garamond" w:hAnsi="Garamond"/>
          <w:sz w:val="24"/>
          <w:szCs w:val="24"/>
          <w:highlight w:val="yellow"/>
        </w:rPr>
        <w:t>Arellano</w:t>
      </w:r>
      <w:proofErr w:type="spellEnd"/>
      <w:r w:rsidRPr="002C7F50">
        <w:rPr>
          <w:rFonts w:ascii="Garamond" w:hAnsi="Garamond"/>
          <w:sz w:val="24"/>
          <w:szCs w:val="24"/>
          <w:highlight w:val="yellow"/>
        </w:rPr>
        <w:t xml:space="preserve">-Bond não rejeita a hipótese nula de ausência de </w:t>
      </w:r>
      <w:proofErr w:type="spellStart"/>
      <w:r w:rsidRPr="002C7F50">
        <w:rPr>
          <w:rFonts w:ascii="Garamond" w:hAnsi="Garamond"/>
          <w:sz w:val="24"/>
          <w:szCs w:val="24"/>
          <w:highlight w:val="yellow"/>
        </w:rPr>
        <w:t>autocorrelação</w:t>
      </w:r>
      <w:proofErr w:type="spellEnd"/>
      <w:r w:rsidRPr="002C7F50">
        <w:rPr>
          <w:rFonts w:ascii="Garamond" w:hAnsi="Garamond"/>
          <w:sz w:val="24"/>
          <w:szCs w:val="24"/>
          <w:highlight w:val="yellow"/>
        </w:rPr>
        <w:t xml:space="preserve"> de segunda ordem, mas rejeita a </w:t>
      </w:r>
      <w:proofErr w:type="spellStart"/>
      <w:r w:rsidRPr="002C7F50">
        <w:rPr>
          <w:rFonts w:ascii="Garamond" w:hAnsi="Garamond"/>
          <w:sz w:val="24"/>
          <w:szCs w:val="24"/>
          <w:highlight w:val="yellow"/>
        </w:rPr>
        <w:t>autocorrelação</w:t>
      </w:r>
      <w:proofErr w:type="spellEnd"/>
      <w:r w:rsidRPr="002C7F50">
        <w:rPr>
          <w:rFonts w:ascii="Garamond" w:hAnsi="Garamond"/>
          <w:sz w:val="24"/>
          <w:szCs w:val="24"/>
          <w:highlight w:val="yellow"/>
        </w:rPr>
        <w:t xml:space="preserve"> de primeira ordem. Já para a validade dos instrumentos, os testes de Hansen e </w:t>
      </w:r>
      <w:proofErr w:type="spellStart"/>
      <w:r w:rsidRPr="002C7F50">
        <w:rPr>
          <w:rFonts w:ascii="Garamond" w:hAnsi="Garamond"/>
          <w:sz w:val="24"/>
          <w:szCs w:val="24"/>
          <w:highlight w:val="yellow"/>
        </w:rPr>
        <w:t>Sargan</w:t>
      </w:r>
      <w:proofErr w:type="spellEnd"/>
      <w:r w:rsidRPr="002C7F50">
        <w:rPr>
          <w:rFonts w:ascii="Garamond" w:hAnsi="Garamond"/>
          <w:sz w:val="24"/>
          <w:szCs w:val="24"/>
          <w:highlight w:val="yellow"/>
        </w:rPr>
        <w:t xml:space="preserve">, não rejeitam a hipótese de que os instrumentos são válidos. E, por fim, o teste </w:t>
      </w:r>
      <w:proofErr w:type="spellStart"/>
      <w:r w:rsidRPr="002C7F50">
        <w:rPr>
          <w:rFonts w:ascii="Garamond" w:hAnsi="Garamond"/>
          <w:i/>
          <w:iCs/>
          <w:sz w:val="24"/>
          <w:szCs w:val="24"/>
          <w:highlight w:val="yellow"/>
        </w:rPr>
        <w:t>Difference</w:t>
      </w:r>
      <w:proofErr w:type="spellEnd"/>
      <w:r w:rsidRPr="002C7F50">
        <w:rPr>
          <w:rFonts w:ascii="Garamond" w:hAnsi="Garamond"/>
          <w:i/>
          <w:iCs/>
          <w:sz w:val="24"/>
          <w:szCs w:val="24"/>
          <w:highlight w:val="yellow"/>
        </w:rPr>
        <w:t xml:space="preserve">-Hansen </w:t>
      </w:r>
      <w:r w:rsidRPr="002C7F50">
        <w:rPr>
          <w:rFonts w:ascii="Garamond" w:hAnsi="Garamond"/>
          <w:sz w:val="24"/>
          <w:szCs w:val="24"/>
          <w:highlight w:val="yellow"/>
        </w:rPr>
        <w:t xml:space="preserve">não rejeita a hipótese de </w:t>
      </w:r>
      <w:proofErr w:type="spellStart"/>
      <w:r w:rsidRPr="002C7F50">
        <w:rPr>
          <w:rFonts w:ascii="Garamond" w:hAnsi="Garamond"/>
          <w:sz w:val="24"/>
          <w:szCs w:val="24"/>
          <w:highlight w:val="yellow"/>
        </w:rPr>
        <w:t>exogeneidade</w:t>
      </w:r>
      <w:proofErr w:type="spellEnd"/>
      <w:r w:rsidRPr="002C7F50">
        <w:rPr>
          <w:rFonts w:ascii="Garamond" w:hAnsi="Garamond"/>
          <w:sz w:val="24"/>
          <w:szCs w:val="24"/>
          <w:highlight w:val="yellow"/>
        </w:rPr>
        <w:t xml:space="preserve"> dos instrumentos. Consequentemente, pode-se inferir que a estimação se mostrou eficiente em ambos os modelos.</w:t>
      </w:r>
    </w:p>
    <w:p w:rsidR="00BA7C9C" w:rsidRPr="002C7F50" w:rsidRDefault="00BA7C9C" w:rsidP="00BA7C9C">
      <w:pPr>
        <w:tabs>
          <w:tab w:val="left" w:pos="0"/>
        </w:tabs>
        <w:spacing w:after="0" w:line="240" w:lineRule="auto"/>
        <w:jc w:val="both"/>
        <w:rPr>
          <w:rFonts w:ascii="Garamond" w:hAnsi="Garamond"/>
          <w:sz w:val="24"/>
          <w:szCs w:val="24"/>
        </w:rPr>
      </w:pPr>
      <w:r w:rsidRPr="002C7F50">
        <w:rPr>
          <w:rFonts w:ascii="Garamond" w:hAnsi="Garamond"/>
          <w:sz w:val="24"/>
          <w:szCs w:val="24"/>
          <w:highlight w:val="yellow"/>
        </w:rPr>
        <w:tab/>
        <w:t xml:space="preserve">Vale destacar que, apesar da ampla discussão sobre os efeitos da </w:t>
      </w:r>
      <w:proofErr w:type="spellStart"/>
      <w:r w:rsidRPr="002C7F50">
        <w:rPr>
          <w:rFonts w:ascii="Garamond" w:hAnsi="Garamond"/>
          <w:sz w:val="24"/>
          <w:szCs w:val="24"/>
          <w:highlight w:val="yellow"/>
        </w:rPr>
        <w:t>endogeneidade</w:t>
      </w:r>
      <w:proofErr w:type="spellEnd"/>
      <w:r w:rsidRPr="002C7F50">
        <w:rPr>
          <w:rFonts w:ascii="Garamond" w:hAnsi="Garamond"/>
          <w:sz w:val="24"/>
          <w:szCs w:val="24"/>
          <w:highlight w:val="yellow"/>
        </w:rPr>
        <w:t xml:space="preserve"> do capital humano em modelos empíricos a </w:t>
      </w:r>
      <w:proofErr w:type="spellStart"/>
      <w:proofErr w:type="gramStart"/>
      <w:r w:rsidRPr="002C7F50">
        <w:rPr>
          <w:rFonts w:ascii="Garamond" w:hAnsi="Garamond"/>
          <w:sz w:val="24"/>
          <w:szCs w:val="24"/>
          <w:highlight w:val="yellow"/>
        </w:rPr>
        <w:t>la</w:t>
      </w:r>
      <w:proofErr w:type="spellEnd"/>
      <w:proofErr w:type="gramEnd"/>
      <w:r w:rsidRPr="002C7F50">
        <w:rPr>
          <w:rFonts w:ascii="Garamond" w:hAnsi="Garamond"/>
          <w:sz w:val="24"/>
          <w:szCs w:val="24"/>
          <w:highlight w:val="yellow"/>
        </w:rPr>
        <w:t xml:space="preserve"> </w:t>
      </w:r>
      <w:proofErr w:type="spellStart"/>
      <w:r w:rsidRPr="002C7F50">
        <w:rPr>
          <w:rFonts w:ascii="Garamond" w:hAnsi="Garamond"/>
          <w:sz w:val="24"/>
          <w:szCs w:val="24"/>
          <w:highlight w:val="yellow"/>
        </w:rPr>
        <w:t>Mankiw</w:t>
      </w:r>
      <w:proofErr w:type="spellEnd"/>
      <w:r w:rsidRPr="002C7F50">
        <w:rPr>
          <w:rFonts w:ascii="Garamond" w:hAnsi="Garamond"/>
          <w:sz w:val="24"/>
          <w:szCs w:val="24"/>
          <w:highlight w:val="yellow"/>
        </w:rPr>
        <w:t xml:space="preserve">, </w:t>
      </w:r>
      <w:proofErr w:type="spellStart"/>
      <w:r w:rsidRPr="002C7F50">
        <w:rPr>
          <w:rFonts w:ascii="Garamond" w:hAnsi="Garamond"/>
          <w:sz w:val="24"/>
          <w:szCs w:val="24"/>
          <w:highlight w:val="yellow"/>
        </w:rPr>
        <w:t>Romer</w:t>
      </w:r>
      <w:proofErr w:type="spellEnd"/>
      <w:r w:rsidRPr="002C7F50">
        <w:rPr>
          <w:rFonts w:ascii="Garamond" w:hAnsi="Garamond"/>
          <w:sz w:val="24"/>
          <w:szCs w:val="24"/>
          <w:highlight w:val="yellow"/>
        </w:rPr>
        <w:t xml:space="preserve"> e Weill (1992), ainda não há uma técnica indiscutível e consensual para controlar tais efeitos. Um dos recursos técnicos mais recentes é o método </w:t>
      </w:r>
      <w:r w:rsidRPr="002C7F50">
        <w:rPr>
          <w:rFonts w:ascii="Garamond" w:hAnsi="Garamond"/>
          <w:i/>
          <w:sz w:val="24"/>
          <w:szCs w:val="24"/>
          <w:highlight w:val="yellow"/>
        </w:rPr>
        <w:t xml:space="preserve">System-GMM, </w:t>
      </w:r>
      <w:r w:rsidRPr="002C7F50">
        <w:rPr>
          <w:rFonts w:ascii="Garamond" w:hAnsi="Garamond"/>
          <w:sz w:val="24"/>
          <w:szCs w:val="24"/>
          <w:highlight w:val="yellow"/>
        </w:rPr>
        <w:t xml:space="preserve">proposto por </w:t>
      </w:r>
      <w:proofErr w:type="spellStart"/>
      <w:r w:rsidRPr="002C7F50">
        <w:rPr>
          <w:rFonts w:ascii="Garamond" w:hAnsi="Garamond"/>
          <w:sz w:val="24"/>
          <w:szCs w:val="24"/>
          <w:highlight w:val="yellow"/>
        </w:rPr>
        <w:t>Arellano</w:t>
      </w:r>
      <w:proofErr w:type="spellEnd"/>
      <w:r w:rsidRPr="002C7F50">
        <w:rPr>
          <w:rFonts w:ascii="Garamond" w:hAnsi="Garamond"/>
          <w:sz w:val="24"/>
          <w:szCs w:val="24"/>
          <w:highlight w:val="yellow"/>
        </w:rPr>
        <w:t xml:space="preserve"> e </w:t>
      </w:r>
      <w:proofErr w:type="spellStart"/>
      <w:r w:rsidRPr="002C7F50">
        <w:rPr>
          <w:rFonts w:ascii="Garamond" w:hAnsi="Garamond"/>
          <w:sz w:val="24"/>
          <w:szCs w:val="24"/>
          <w:highlight w:val="yellow"/>
        </w:rPr>
        <w:t>Bover</w:t>
      </w:r>
      <w:proofErr w:type="spellEnd"/>
      <w:r w:rsidRPr="002C7F50">
        <w:rPr>
          <w:rFonts w:ascii="Garamond" w:hAnsi="Garamond"/>
          <w:sz w:val="24"/>
          <w:szCs w:val="24"/>
          <w:highlight w:val="yellow"/>
        </w:rPr>
        <w:t xml:space="preserve"> (1995) e </w:t>
      </w:r>
      <w:proofErr w:type="spellStart"/>
      <w:r w:rsidRPr="002C7F50">
        <w:rPr>
          <w:rFonts w:ascii="Garamond" w:hAnsi="Garamond"/>
          <w:sz w:val="24"/>
          <w:szCs w:val="24"/>
          <w:highlight w:val="yellow"/>
        </w:rPr>
        <w:t>Blundell</w:t>
      </w:r>
      <w:proofErr w:type="spellEnd"/>
      <w:r w:rsidRPr="002C7F50">
        <w:rPr>
          <w:rFonts w:ascii="Garamond" w:hAnsi="Garamond"/>
          <w:sz w:val="24"/>
          <w:szCs w:val="24"/>
          <w:highlight w:val="yellow"/>
        </w:rPr>
        <w:t xml:space="preserve"> e Bond (1998) e empregados em Arruda (2013) e </w:t>
      </w:r>
      <w:proofErr w:type="spellStart"/>
      <w:r w:rsidRPr="002C7F50">
        <w:rPr>
          <w:rFonts w:ascii="Garamond" w:hAnsi="Garamond"/>
          <w:sz w:val="24"/>
          <w:szCs w:val="24"/>
          <w:highlight w:val="yellow"/>
        </w:rPr>
        <w:t>Daumal</w:t>
      </w:r>
      <w:proofErr w:type="spellEnd"/>
      <w:r w:rsidRPr="002C7F50">
        <w:rPr>
          <w:rFonts w:ascii="Garamond" w:hAnsi="Garamond"/>
          <w:sz w:val="24"/>
          <w:szCs w:val="24"/>
          <w:highlight w:val="yellow"/>
        </w:rPr>
        <w:t xml:space="preserve"> e </w:t>
      </w:r>
      <w:proofErr w:type="spellStart"/>
      <w:r w:rsidRPr="002C7F50">
        <w:rPr>
          <w:rFonts w:ascii="Garamond" w:hAnsi="Garamond"/>
          <w:sz w:val="24"/>
          <w:szCs w:val="24"/>
          <w:highlight w:val="yellow"/>
        </w:rPr>
        <w:t>Özyurt</w:t>
      </w:r>
      <w:proofErr w:type="spellEnd"/>
      <w:r w:rsidRPr="002C7F50">
        <w:rPr>
          <w:rFonts w:ascii="Garamond" w:hAnsi="Garamond"/>
          <w:sz w:val="24"/>
          <w:szCs w:val="24"/>
          <w:highlight w:val="yellow"/>
        </w:rPr>
        <w:t xml:space="preserve"> (2011), que consiste na composição de um sistema composto pela equação dinâmica em nível e sua versão em primeira diferença com a utilização de </w:t>
      </w:r>
      <w:proofErr w:type="spellStart"/>
      <w:r w:rsidRPr="002C7F50">
        <w:rPr>
          <w:rFonts w:ascii="Garamond" w:hAnsi="Garamond"/>
          <w:i/>
          <w:sz w:val="24"/>
          <w:szCs w:val="24"/>
          <w:highlight w:val="yellow"/>
        </w:rPr>
        <w:t>lags</w:t>
      </w:r>
      <w:proofErr w:type="spellEnd"/>
      <w:r w:rsidRPr="002C7F50">
        <w:rPr>
          <w:rFonts w:ascii="Garamond" w:hAnsi="Garamond"/>
          <w:i/>
          <w:sz w:val="24"/>
          <w:szCs w:val="24"/>
          <w:highlight w:val="yellow"/>
        </w:rPr>
        <w:t xml:space="preserve"> </w:t>
      </w:r>
      <w:r w:rsidRPr="002C7F50">
        <w:rPr>
          <w:rFonts w:ascii="Garamond" w:hAnsi="Garamond"/>
          <w:sz w:val="24"/>
          <w:szCs w:val="24"/>
          <w:highlight w:val="yellow"/>
        </w:rPr>
        <w:t xml:space="preserve">das variáveis em primeira diferença como instrumentos para a equação em nível e </w:t>
      </w:r>
      <w:proofErr w:type="spellStart"/>
      <w:r w:rsidRPr="002C7F50">
        <w:rPr>
          <w:rFonts w:ascii="Garamond" w:hAnsi="Garamond"/>
          <w:i/>
          <w:sz w:val="24"/>
          <w:szCs w:val="24"/>
          <w:highlight w:val="yellow"/>
        </w:rPr>
        <w:t>lags</w:t>
      </w:r>
      <w:proofErr w:type="spellEnd"/>
      <w:r w:rsidRPr="002C7F50">
        <w:rPr>
          <w:rFonts w:ascii="Garamond" w:hAnsi="Garamond"/>
          <w:sz w:val="24"/>
          <w:szCs w:val="24"/>
          <w:highlight w:val="yellow"/>
        </w:rPr>
        <w:t xml:space="preserve"> das variáveis em nível para a equação em primeira diferença.</w:t>
      </w:r>
      <w:r w:rsidRPr="002C7F50">
        <w:rPr>
          <w:rFonts w:ascii="Garamond" w:hAnsi="Garamond"/>
          <w:sz w:val="24"/>
          <w:szCs w:val="24"/>
        </w:rPr>
        <w:t xml:space="preserve"> </w:t>
      </w:r>
      <w:r w:rsidRPr="002C7F50">
        <w:rPr>
          <w:rFonts w:ascii="Garamond" w:hAnsi="Garamond"/>
          <w:sz w:val="24"/>
          <w:szCs w:val="24"/>
          <w:highlight w:val="yellow"/>
        </w:rPr>
        <w:t xml:space="preserve">Reconhecendo essa </w:t>
      </w:r>
      <w:r w:rsidRPr="002C7F50">
        <w:rPr>
          <w:rFonts w:ascii="Garamond" w:hAnsi="Garamond"/>
          <w:sz w:val="24"/>
          <w:szCs w:val="24"/>
          <w:highlight w:val="yellow"/>
        </w:rPr>
        <w:lastRenderedPageBreak/>
        <w:t xml:space="preserve">dificuldade, o presente estudo fez uso dessa técnica empregando também </w:t>
      </w:r>
      <w:proofErr w:type="spellStart"/>
      <w:r w:rsidRPr="002C7F50">
        <w:rPr>
          <w:rFonts w:ascii="Garamond" w:hAnsi="Garamond"/>
          <w:sz w:val="24"/>
          <w:szCs w:val="24"/>
          <w:highlight w:val="yellow"/>
        </w:rPr>
        <w:t>lags</w:t>
      </w:r>
      <w:proofErr w:type="spellEnd"/>
      <w:r w:rsidRPr="002C7F50">
        <w:rPr>
          <w:rFonts w:ascii="Garamond" w:hAnsi="Garamond"/>
          <w:sz w:val="24"/>
          <w:szCs w:val="24"/>
          <w:highlight w:val="yellow"/>
        </w:rPr>
        <w:t xml:space="preserve"> dos indicadores de capital humano na tentativa de instrumentalizá-lo.</w:t>
      </w:r>
      <w:r w:rsidRPr="002C7F50">
        <w:rPr>
          <w:rFonts w:ascii="Garamond" w:hAnsi="Garamond"/>
          <w:sz w:val="24"/>
          <w:szCs w:val="24"/>
        </w:rPr>
        <w:t xml:space="preserve"> </w:t>
      </w:r>
    </w:p>
    <w:p w:rsidR="00BA7C9C" w:rsidRPr="002C7F50" w:rsidRDefault="00BA7C9C" w:rsidP="00BA7C9C">
      <w:pPr>
        <w:spacing w:after="0" w:line="240" w:lineRule="auto"/>
        <w:jc w:val="both"/>
        <w:rPr>
          <w:rFonts w:ascii="Garamond" w:hAnsi="Garamond"/>
          <w:sz w:val="24"/>
          <w:szCs w:val="24"/>
        </w:rPr>
      </w:pPr>
      <w:r w:rsidRPr="002C7F50">
        <w:rPr>
          <w:rFonts w:ascii="Garamond" w:hAnsi="Garamond"/>
          <w:sz w:val="24"/>
          <w:szCs w:val="24"/>
          <w:highlight w:val="yellow"/>
        </w:rPr>
        <w:tab/>
        <w:t xml:space="preserve">Primeiramente percebe-se que, nos modelos em questão, as variáveis apresentaram os sinais previstos pela teoria. E, além disso, o coeficiente estimado da variável dependente defasada, no </w:t>
      </w:r>
      <w:r w:rsidRPr="002C7F50">
        <w:rPr>
          <w:rFonts w:ascii="Garamond" w:hAnsi="Garamond"/>
          <w:i/>
          <w:sz w:val="24"/>
          <w:szCs w:val="24"/>
          <w:highlight w:val="yellow"/>
        </w:rPr>
        <w:t>System-GMM</w:t>
      </w:r>
      <w:r w:rsidRPr="002C7F50">
        <w:rPr>
          <w:rFonts w:ascii="Garamond" w:hAnsi="Garamond"/>
          <w:sz w:val="24"/>
          <w:szCs w:val="24"/>
          <w:highlight w:val="yellow"/>
        </w:rPr>
        <w:t xml:space="preserve"> em ambos os modelos, está exatamente entre os limites das estimações via </w:t>
      </w:r>
      <w:proofErr w:type="spellStart"/>
      <w:r w:rsidRPr="002C7F50">
        <w:rPr>
          <w:rFonts w:ascii="Garamond" w:hAnsi="Garamond"/>
          <w:sz w:val="24"/>
          <w:szCs w:val="24"/>
          <w:highlight w:val="yellow"/>
        </w:rPr>
        <w:t>Pooled</w:t>
      </w:r>
      <w:proofErr w:type="spellEnd"/>
      <w:r w:rsidRPr="002C7F50">
        <w:rPr>
          <w:rFonts w:ascii="Garamond" w:hAnsi="Garamond"/>
          <w:sz w:val="24"/>
          <w:szCs w:val="24"/>
          <w:highlight w:val="yellow"/>
        </w:rPr>
        <w:t xml:space="preserve"> (MQO) e via método </w:t>
      </w:r>
      <w:proofErr w:type="spellStart"/>
      <w:r w:rsidRPr="002C7F50">
        <w:rPr>
          <w:rFonts w:ascii="Garamond" w:hAnsi="Garamond"/>
          <w:sz w:val="24"/>
          <w:szCs w:val="24"/>
          <w:highlight w:val="yellow"/>
        </w:rPr>
        <w:t>Within</w:t>
      </w:r>
      <w:proofErr w:type="spellEnd"/>
      <w:r w:rsidRPr="002C7F50">
        <w:rPr>
          <w:rFonts w:ascii="Garamond" w:hAnsi="Garamond"/>
          <w:sz w:val="24"/>
          <w:szCs w:val="24"/>
          <w:highlight w:val="yellow"/>
        </w:rPr>
        <w:t xml:space="preserve"> </w:t>
      </w:r>
      <w:proofErr w:type="spellStart"/>
      <w:r w:rsidRPr="002C7F50">
        <w:rPr>
          <w:rFonts w:ascii="Garamond" w:hAnsi="Garamond"/>
          <w:sz w:val="24"/>
          <w:szCs w:val="24"/>
          <w:highlight w:val="yellow"/>
        </w:rPr>
        <w:t>Groups</w:t>
      </w:r>
      <w:proofErr w:type="spellEnd"/>
      <w:r w:rsidRPr="002C7F50">
        <w:rPr>
          <w:rFonts w:ascii="Garamond" w:hAnsi="Garamond"/>
          <w:sz w:val="24"/>
          <w:szCs w:val="24"/>
          <w:highlight w:val="yellow"/>
        </w:rPr>
        <w:t xml:space="preserve"> (Efeitos Fixos) como recomendado por </w:t>
      </w:r>
      <w:proofErr w:type="spellStart"/>
      <w:r w:rsidRPr="002C7F50">
        <w:rPr>
          <w:rFonts w:ascii="Garamond" w:hAnsi="Garamond"/>
          <w:sz w:val="24"/>
          <w:szCs w:val="24"/>
          <w:highlight w:val="yellow"/>
        </w:rPr>
        <w:t>Arellano</w:t>
      </w:r>
      <w:proofErr w:type="spellEnd"/>
      <w:r w:rsidRPr="002C7F50">
        <w:rPr>
          <w:rFonts w:ascii="Garamond" w:hAnsi="Garamond"/>
          <w:sz w:val="24"/>
          <w:szCs w:val="24"/>
          <w:highlight w:val="yellow"/>
        </w:rPr>
        <w:t xml:space="preserve"> e </w:t>
      </w:r>
      <w:proofErr w:type="spellStart"/>
      <w:r w:rsidRPr="002C7F50">
        <w:rPr>
          <w:rFonts w:ascii="Garamond" w:hAnsi="Garamond"/>
          <w:sz w:val="24"/>
          <w:szCs w:val="24"/>
          <w:highlight w:val="yellow"/>
        </w:rPr>
        <w:t>Bover</w:t>
      </w:r>
      <w:proofErr w:type="spellEnd"/>
      <w:r w:rsidRPr="002C7F50">
        <w:rPr>
          <w:rFonts w:ascii="Garamond" w:hAnsi="Garamond"/>
          <w:sz w:val="24"/>
          <w:szCs w:val="24"/>
          <w:highlight w:val="yellow"/>
        </w:rPr>
        <w:t xml:space="preserve"> (1995) e </w:t>
      </w:r>
      <w:proofErr w:type="spellStart"/>
      <w:r w:rsidRPr="002C7F50">
        <w:rPr>
          <w:rFonts w:ascii="Garamond" w:hAnsi="Garamond"/>
          <w:sz w:val="24"/>
          <w:szCs w:val="24"/>
          <w:highlight w:val="yellow"/>
        </w:rPr>
        <w:t>Blundell</w:t>
      </w:r>
      <w:proofErr w:type="spellEnd"/>
      <w:r w:rsidRPr="002C7F50">
        <w:rPr>
          <w:rFonts w:ascii="Garamond" w:hAnsi="Garamond"/>
          <w:sz w:val="24"/>
          <w:szCs w:val="24"/>
          <w:highlight w:val="yellow"/>
        </w:rPr>
        <w:t xml:space="preserve"> e Bond (1998), uma vez que o primeiro superestima e o segundo subestima o referido coeficiente; os testes de validade dos instrumentos de Hansen e </w:t>
      </w:r>
      <w:proofErr w:type="spellStart"/>
      <w:r w:rsidRPr="002C7F50">
        <w:rPr>
          <w:rFonts w:ascii="Garamond" w:hAnsi="Garamond"/>
          <w:sz w:val="24"/>
          <w:szCs w:val="24"/>
          <w:highlight w:val="yellow"/>
        </w:rPr>
        <w:t>Sargan</w:t>
      </w:r>
      <w:proofErr w:type="spellEnd"/>
      <w:r w:rsidRPr="002C7F50">
        <w:rPr>
          <w:rFonts w:ascii="Garamond" w:hAnsi="Garamond"/>
          <w:sz w:val="24"/>
          <w:szCs w:val="24"/>
          <w:highlight w:val="yellow"/>
        </w:rPr>
        <w:t xml:space="preserve"> não rejeitam a hipótese de que os instrumentos são válidos. E, por fim, o teste </w:t>
      </w:r>
      <w:proofErr w:type="spellStart"/>
      <w:r w:rsidRPr="002C7F50">
        <w:rPr>
          <w:rFonts w:ascii="Garamond" w:hAnsi="Garamond"/>
          <w:sz w:val="24"/>
          <w:szCs w:val="24"/>
          <w:highlight w:val="yellow"/>
        </w:rPr>
        <w:t>Difference</w:t>
      </w:r>
      <w:proofErr w:type="spellEnd"/>
      <w:r w:rsidRPr="002C7F50">
        <w:rPr>
          <w:rFonts w:ascii="Garamond" w:hAnsi="Garamond"/>
          <w:sz w:val="24"/>
          <w:szCs w:val="24"/>
          <w:highlight w:val="yellow"/>
        </w:rPr>
        <w:t xml:space="preserve">-Hansen não rejeita a hipótese de </w:t>
      </w:r>
      <w:proofErr w:type="spellStart"/>
      <w:r w:rsidRPr="002C7F50">
        <w:rPr>
          <w:rFonts w:ascii="Garamond" w:hAnsi="Garamond"/>
          <w:sz w:val="24"/>
          <w:szCs w:val="24"/>
          <w:highlight w:val="yellow"/>
        </w:rPr>
        <w:t>exogeneidade</w:t>
      </w:r>
      <w:proofErr w:type="spellEnd"/>
      <w:r w:rsidRPr="002C7F50">
        <w:rPr>
          <w:rFonts w:ascii="Garamond" w:hAnsi="Garamond"/>
          <w:sz w:val="24"/>
          <w:szCs w:val="24"/>
          <w:highlight w:val="yellow"/>
        </w:rPr>
        <w:t xml:space="preserve"> dos instrumentos. Portanto, acredita-se que boa parte dos efeitos da </w:t>
      </w:r>
      <w:proofErr w:type="spellStart"/>
      <w:r w:rsidRPr="002C7F50">
        <w:rPr>
          <w:rFonts w:ascii="Garamond" w:hAnsi="Garamond"/>
          <w:sz w:val="24"/>
          <w:szCs w:val="24"/>
          <w:highlight w:val="yellow"/>
        </w:rPr>
        <w:t>endogeneidade</w:t>
      </w:r>
      <w:proofErr w:type="spellEnd"/>
      <w:r w:rsidRPr="002C7F50">
        <w:rPr>
          <w:rFonts w:ascii="Garamond" w:hAnsi="Garamond"/>
          <w:sz w:val="24"/>
          <w:szCs w:val="24"/>
          <w:highlight w:val="yellow"/>
        </w:rPr>
        <w:t xml:space="preserve"> no modelo foram </w:t>
      </w:r>
      <w:proofErr w:type="gramStart"/>
      <w:r w:rsidRPr="002C7F50">
        <w:rPr>
          <w:rFonts w:ascii="Garamond" w:hAnsi="Garamond"/>
          <w:sz w:val="24"/>
          <w:szCs w:val="24"/>
          <w:highlight w:val="yellow"/>
        </w:rPr>
        <w:t>expurgados</w:t>
      </w:r>
      <w:proofErr w:type="gramEnd"/>
      <w:r w:rsidRPr="002C7F50">
        <w:rPr>
          <w:rFonts w:ascii="Garamond" w:hAnsi="Garamond"/>
          <w:sz w:val="24"/>
          <w:szCs w:val="24"/>
          <w:highlight w:val="yellow"/>
        </w:rPr>
        <w:t xml:space="preserve">, todavia, ainda se deve empregar cautela, uma vez que não há um consenso na literatura sobre qual a melhor forma de controlar possíveis efeitos de </w:t>
      </w:r>
      <w:proofErr w:type="spellStart"/>
      <w:r w:rsidRPr="002C7F50">
        <w:rPr>
          <w:rFonts w:ascii="Garamond" w:hAnsi="Garamond"/>
          <w:sz w:val="24"/>
          <w:szCs w:val="24"/>
          <w:highlight w:val="yellow"/>
        </w:rPr>
        <w:t>endogeneidade</w:t>
      </w:r>
      <w:proofErr w:type="spellEnd"/>
      <w:r w:rsidRPr="002C7F50">
        <w:rPr>
          <w:rFonts w:ascii="Garamond" w:hAnsi="Garamond"/>
          <w:sz w:val="24"/>
          <w:szCs w:val="24"/>
          <w:highlight w:val="yellow"/>
        </w:rPr>
        <w:t xml:space="preserve"> em modelos empíricos de função de produção agregada com capital humano.</w:t>
      </w:r>
    </w:p>
    <w:p w:rsidR="00BA7C9C" w:rsidRPr="002C7F50" w:rsidRDefault="00BA7C9C" w:rsidP="00BA7C9C">
      <w:pPr>
        <w:spacing w:after="0" w:line="240" w:lineRule="auto"/>
        <w:jc w:val="both"/>
        <w:rPr>
          <w:rFonts w:ascii="Garamond" w:hAnsi="Garamond"/>
          <w:sz w:val="24"/>
          <w:szCs w:val="24"/>
        </w:rPr>
      </w:pPr>
    </w:p>
    <w:tbl>
      <w:tblPr>
        <w:tblStyle w:val="Tabelacomgrade"/>
        <w:tblW w:w="4963" w:type="pct"/>
        <w:tblLook w:val="04A0" w:firstRow="1" w:lastRow="0" w:firstColumn="1" w:lastColumn="0" w:noHBand="0" w:noVBand="1"/>
      </w:tblPr>
      <w:tblGrid>
        <w:gridCol w:w="2151"/>
        <w:gridCol w:w="929"/>
        <w:gridCol w:w="1069"/>
        <w:gridCol w:w="1318"/>
        <w:gridCol w:w="1318"/>
        <w:gridCol w:w="1143"/>
        <w:gridCol w:w="1289"/>
      </w:tblGrid>
      <w:tr w:rsidR="00BA7C9C" w:rsidRPr="002C7F50" w:rsidTr="0011017D">
        <w:trPr>
          <w:trHeight w:val="394"/>
        </w:trPr>
        <w:tc>
          <w:tcPr>
            <w:tcW w:w="5000" w:type="pct"/>
            <w:gridSpan w:val="7"/>
            <w:tcBorders>
              <w:top w:val="nil"/>
              <w:left w:val="nil"/>
              <w:bottom w:val="single" w:sz="4" w:space="0" w:color="auto"/>
              <w:right w:val="nil"/>
            </w:tcBorders>
            <w:vAlign w:val="center"/>
            <w:hideMark/>
          </w:tcPr>
          <w:p w:rsidR="00BA7C9C" w:rsidRPr="002C7F50" w:rsidRDefault="00BA7C9C" w:rsidP="0011017D">
            <w:pPr>
              <w:rPr>
                <w:rFonts w:ascii="Garamond" w:eastAsia="Times New Roman" w:hAnsi="Garamond"/>
                <w:b/>
                <w:sz w:val="24"/>
                <w:szCs w:val="24"/>
              </w:rPr>
            </w:pPr>
            <w:r w:rsidRPr="002C7F50">
              <w:rPr>
                <w:rFonts w:ascii="Garamond" w:hAnsi="Garamond"/>
                <w:sz w:val="24"/>
                <w:szCs w:val="24"/>
              </w:rPr>
              <w:t>Tabela 4: Resultados dos Modelos Estimados</w:t>
            </w:r>
          </w:p>
        </w:tc>
      </w:tr>
      <w:tr w:rsidR="00BA7C9C" w:rsidRPr="002C7F50" w:rsidTr="0011017D">
        <w:trPr>
          <w:trHeight w:val="346"/>
        </w:trPr>
        <w:tc>
          <w:tcPr>
            <w:tcW w:w="1167" w:type="pct"/>
            <w:vMerge w:val="restart"/>
            <w:tcBorders>
              <w:top w:val="single" w:sz="4" w:space="0" w:color="auto"/>
              <w:left w:val="nil"/>
              <w:bottom w:val="single" w:sz="4" w:space="0" w:color="auto"/>
              <w:right w:val="single" w:sz="4" w:space="0" w:color="auto"/>
            </w:tcBorders>
            <w:vAlign w:val="center"/>
            <w:hideMark/>
          </w:tcPr>
          <w:p w:rsidR="00BA7C9C" w:rsidRPr="002C7F50" w:rsidRDefault="00BA7C9C" w:rsidP="0011017D">
            <w:pPr>
              <w:jc w:val="center"/>
              <w:rPr>
                <w:rFonts w:ascii="Garamond" w:hAnsi="Garamond"/>
                <w:b/>
                <w:sz w:val="24"/>
                <w:szCs w:val="24"/>
              </w:rPr>
            </w:pPr>
            <w:r w:rsidRPr="002C7F50">
              <w:rPr>
                <w:rFonts w:ascii="Garamond" w:hAnsi="Garamond"/>
                <w:b/>
                <w:bCs/>
                <w:sz w:val="24"/>
                <w:szCs w:val="24"/>
              </w:rPr>
              <w:t>Variáveis explicativas</w:t>
            </w:r>
          </w:p>
        </w:tc>
        <w:tc>
          <w:tcPr>
            <w:tcW w:w="1798" w:type="pct"/>
            <w:gridSpan w:val="3"/>
            <w:tcBorders>
              <w:top w:val="single" w:sz="4" w:space="0" w:color="auto"/>
              <w:left w:val="single" w:sz="4" w:space="0" w:color="auto"/>
              <w:bottom w:val="single" w:sz="4" w:space="0" w:color="auto"/>
              <w:right w:val="single" w:sz="4" w:space="0" w:color="auto"/>
            </w:tcBorders>
            <w:vAlign w:val="center"/>
            <w:hideMark/>
          </w:tcPr>
          <w:p w:rsidR="00BA7C9C" w:rsidRPr="002C7F50" w:rsidRDefault="00BA7C9C" w:rsidP="0011017D">
            <w:pPr>
              <w:jc w:val="center"/>
              <w:rPr>
                <w:rFonts w:ascii="Garamond" w:hAnsi="Garamond"/>
                <w:b/>
                <w:sz w:val="24"/>
                <w:szCs w:val="24"/>
              </w:rPr>
            </w:pPr>
            <w:r w:rsidRPr="002C7F50">
              <w:rPr>
                <w:rFonts w:ascii="Garamond" w:hAnsi="Garamond"/>
                <w:b/>
                <w:sz w:val="24"/>
                <w:szCs w:val="24"/>
              </w:rPr>
              <w:t>Ensino Fundamental</w:t>
            </w:r>
          </w:p>
        </w:tc>
        <w:tc>
          <w:tcPr>
            <w:tcW w:w="2034" w:type="pct"/>
            <w:gridSpan w:val="3"/>
            <w:tcBorders>
              <w:top w:val="single" w:sz="4" w:space="0" w:color="auto"/>
              <w:left w:val="single" w:sz="4" w:space="0" w:color="auto"/>
              <w:bottom w:val="single" w:sz="4" w:space="0" w:color="auto"/>
              <w:right w:val="nil"/>
            </w:tcBorders>
            <w:vAlign w:val="center"/>
            <w:hideMark/>
          </w:tcPr>
          <w:p w:rsidR="00BA7C9C" w:rsidRPr="002C7F50" w:rsidRDefault="00BA7C9C" w:rsidP="0011017D">
            <w:pPr>
              <w:jc w:val="center"/>
              <w:rPr>
                <w:rFonts w:ascii="Garamond" w:hAnsi="Garamond"/>
                <w:b/>
                <w:sz w:val="24"/>
                <w:szCs w:val="24"/>
              </w:rPr>
            </w:pPr>
            <w:r w:rsidRPr="002C7F50">
              <w:rPr>
                <w:rFonts w:ascii="Garamond" w:hAnsi="Garamond"/>
                <w:b/>
                <w:sz w:val="24"/>
                <w:szCs w:val="24"/>
              </w:rPr>
              <w:t>Ensino Médio</w:t>
            </w:r>
          </w:p>
        </w:tc>
      </w:tr>
      <w:tr w:rsidR="00BA7C9C" w:rsidRPr="002C7F50" w:rsidTr="0011017D">
        <w:trPr>
          <w:trHeight w:val="725"/>
        </w:trPr>
        <w:tc>
          <w:tcPr>
            <w:tcW w:w="0" w:type="auto"/>
            <w:vMerge/>
            <w:tcBorders>
              <w:top w:val="single" w:sz="4" w:space="0" w:color="auto"/>
              <w:left w:val="nil"/>
              <w:bottom w:val="single" w:sz="4" w:space="0" w:color="auto"/>
              <w:right w:val="single" w:sz="4" w:space="0" w:color="auto"/>
            </w:tcBorders>
            <w:vAlign w:val="center"/>
            <w:hideMark/>
          </w:tcPr>
          <w:p w:rsidR="00BA7C9C" w:rsidRPr="002C7F50" w:rsidRDefault="00BA7C9C" w:rsidP="0011017D">
            <w:pPr>
              <w:rPr>
                <w:rFonts w:ascii="Garamond" w:eastAsia="Times New Roman" w:hAnsi="Garamond"/>
                <w:b/>
                <w:sz w:val="24"/>
                <w:szCs w:val="24"/>
              </w:rPr>
            </w:pPr>
          </w:p>
        </w:tc>
        <w:tc>
          <w:tcPr>
            <w:tcW w:w="504" w:type="pct"/>
            <w:tcBorders>
              <w:top w:val="single" w:sz="4" w:space="0" w:color="auto"/>
              <w:left w:val="single" w:sz="4" w:space="0" w:color="auto"/>
              <w:bottom w:val="single" w:sz="4" w:space="0" w:color="auto"/>
              <w:right w:val="single" w:sz="4" w:space="0" w:color="auto"/>
            </w:tcBorders>
            <w:vAlign w:val="center"/>
            <w:hideMark/>
          </w:tcPr>
          <w:p w:rsidR="00BA7C9C" w:rsidRPr="002C7F50" w:rsidRDefault="00BA7C9C" w:rsidP="0011017D">
            <w:pPr>
              <w:jc w:val="center"/>
              <w:rPr>
                <w:rFonts w:ascii="Garamond" w:hAnsi="Garamond"/>
                <w:b/>
                <w:i/>
                <w:sz w:val="24"/>
                <w:szCs w:val="24"/>
                <w:highlight w:val="yellow"/>
              </w:rPr>
            </w:pPr>
            <w:proofErr w:type="spellStart"/>
            <w:r w:rsidRPr="002C7F50">
              <w:rPr>
                <w:rFonts w:ascii="Garamond" w:hAnsi="Garamond"/>
                <w:b/>
                <w:i/>
                <w:sz w:val="24"/>
                <w:szCs w:val="24"/>
                <w:highlight w:val="yellow"/>
              </w:rPr>
              <w:t>Pooled</w:t>
            </w:r>
            <w:proofErr w:type="spellEnd"/>
          </w:p>
        </w:tc>
        <w:tc>
          <w:tcPr>
            <w:tcW w:w="580" w:type="pct"/>
            <w:tcBorders>
              <w:top w:val="single" w:sz="4" w:space="0" w:color="auto"/>
              <w:left w:val="single" w:sz="4" w:space="0" w:color="auto"/>
              <w:bottom w:val="single" w:sz="4" w:space="0" w:color="auto"/>
              <w:right w:val="single" w:sz="4" w:space="0" w:color="auto"/>
            </w:tcBorders>
            <w:vAlign w:val="center"/>
            <w:hideMark/>
          </w:tcPr>
          <w:p w:rsidR="00BA7C9C" w:rsidRPr="002C7F50" w:rsidRDefault="00BA7C9C" w:rsidP="0011017D">
            <w:pPr>
              <w:jc w:val="center"/>
              <w:rPr>
                <w:rFonts w:ascii="Garamond" w:hAnsi="Garamond"/>
                <w:b/>
                <w:sz w:val="24"/>
                <w:szCs w:val="24"/>
                <w:highlight w:val="yellow"/>
              </w:rPr>
            </w:pPr>
            <w:r w:rsidRPr="002C7F50">
              <w:rPr>
                <w:rFonts w:ascii="Garamond" w:hAnsi="Garamond"/>
                <w:b/>
                <w:sz w:val="24"/>
                <w:szCs w:val="24"/>
                <w:highlight w:val="yellow"/>
              </w:rPr>
              <w:t>Efeitos Fixos</w:t>
            </w:r>
          </w:p>
        </w:tc>
        <w:tc>
          <w:tcPr>
            <w:tcW w:w="714" w:type="pct"/>
            <w:tcBorders>
              <w:top w:val="single" w:sz="4" w:space="0" w:color="auto"/>
              <w:left w:val="single" w:sz="4" w:space="0" w:color="auto"/>
              <w:bottom w:val="single" w:sz="4" w:space="0" w:color="auto"/>
              <w:right w:val="single" w:sz="4" w:space="0" w:color="auto"/>
            </w:tcBorders>
            <w:vAlign w:val="center"/>
            <w:hideMark/>
          </w:tcPr>
          <w:p w:rsidR="00BA7C9C" w:rsidRPr="002C7F50" w:rsidRDefault="00BA7C9C" w:rsidP="0011017D">
            <w:pPr>
              <w:jc w:val="center"/>
              <w:rPr>
                <w:rFonts w:ascii="Garamond" w:hAnsi="Garamond"/>
                <w:b/>
                <w:i/>
                <w:sz w:val="24"/>
                <w:szCs w:val="24"/>
              </w:rPr>
            </w:pPr>
            <w:r w:rsidRPr="002C7F50">
              <w:rPr>
                <w:rFonts w:ascii="Garamond" w:hAnsi="Garamond"/>
                <w:b/>
                <w:i/>
                <w:sz w:val="24"/>
                <w:szCs w:val="24"/>
              </w:rPr>
              <w:t>System</w:t>
            </w:r>
          </w:p>
          <w:p w:rsidR="00BA7C9C" w:rsidRPr="002C7F50" w:rsidRDefault="00BA7C9C" w:rsidP="0011017D">
            <w:pPr>
              <w:jc w:val="center"/>
              <w:rPr>
                <w:rFonts w:ascii="Garamond" w:hAnsi="Garamond"/>
                <w:b/>
                <w:i/>
                <w:sz w:val="24"/>
                <w:szCs w:val="24"/>
              </w:rPr>
            </w:pPr>
            <w:r w:rsidRPr="002C7F50">
              <w:rPr>
                <w:rFonts w:ascii="Garamond" w:hAnsi="Garamond"/>
                <w:b/>
                <w:i/>
                <w:sz w:val="24"/>
                <w:szCs w:val="24"/>
              </w:rPr>
              <w:t>GMM</w:t>
            </w:r>
          </w:p>
        </w:tc>
        <w:tc>
          <w:tcPr>
            <w:tcW w:w="715" w:type="pct"/>
            <w:tcBorders>
              <w:top w:val="single" w:sz="4" w:space="0" w:color="auto"/>
              <w:left w:val="single" w:sz="4" w:space="0" w:color="auto"/>
              <w:bottom w:val="single" w:sz="4" w:space="0" w:color="auto"/>
              <w:right w:val="single" w:sz="4" w:space="0" w:color="auto"/>
            </w:tcBorders>
            <w:vAlign w:val="center"/>
            <w:hideMark/>
          </w:tcPr>
          <w:p w:rsidR="00BA7C9C" w:rsidRPr="002C7F50" w:rsidRDefault="00BA7C9C" w:rsidP="0011017D">
            <w:pPr>
              <w:jc w:val="center"/>
              <w:rPr>
                <w:rFonts w:ascii="Garamond" w:hAnsi="Garamond"/>
                <w:b/>
                <w:i/>
                <w:sz w:val="24"/>
                <w:szCs w:val="24"/>
                <w:highlight w:val="yellow"/>
              </w:rPr>
            </w:pPr>
            <w:proofErr w:type="spellStart"/>
            <w:r w:rsidRPr="002C7F50">
              <w:rPr>
                <w:rFonts w:ascii="Garamond" w:hAnsi="Garamond"/>
                <w:b/>
                <w:i/>
                <w:sz w:val="24"/>
                <w:szCs w:val="24"/>
                <w:highlight w:val="yellow"/>
              </w:rPr>
              <w:t>Pooled</w:t>
            </w:r>
            <w:proofErr w:type="spellEnd"/>
          </w:p>
        </w:tc>
        <w:tc>
          <w:tcPr>
            <w:tcW w:w="620" w:type="pct"/>
            <w:tcBorders>
              <w:top w:val="single" w:sz="4" w:space="0" w:color="auto"/>
              <w:left w:val="single" w:sz="4" w:space="0" w:color="auto"/>
              <w:bottom w:val="single" w:sz="4" w:space="0" w:color="auto"/>
              <w:right w:val="single" w:sz="4" w:space="0" w:color="auto"/>
            </w:tcBorders>
            <w:vAlign w:val="center"/>
            <w:hideMark/>
          </w:tcPr>
          <w:p w:rsidR="00BA7C9C" w:rsidRPr="002C7F50" w:rsidRDefault="00BA7C9C" w:rsidP="0011017D">
            <w:pPr>
              <w:jc w:val="center"/>
              <w:rPr>
                <w:rFonts w:ascii="Garamond" w:hAnsi="Garamond"/>
                <w:b/>
                <w:sz w:val="24"/>
                <w:szCs w:val="24"/>
                <w:highlight w:val="yellow"/>
              </w:rPr>
            </w:pPr>
            <w:r w:rsidRPr="002C7F50">
              <w:rPr>
                <w:rFonts w:ascii="Garamond" w:hAnsi="Garamond"/>
                <w:b/>
                <w:sz w:val="24"/>
                <w:szCs w:val="24"/>
                <w:highlight w:val="yellow"/>
              </w:rPr>
              <w:t>Efeitos Fixos</w:t>
            </w:r>
          </w:p>
        </w:tc>
        <w:tc>
          <w:tcPr>
            <w:tcW w:w="700" w:type="pct"/>
            <w:tcBorders>
              <w:top w:val="single" w:sz="4" w:space="0" w:color="auto"/>
              <w:left w:val="single" w:sz="4" w:space="0" w:color="auto"/>
              <w:bottom w:val="single" w:sz="4" w:space="0" w:color="auto"/>
              <w:right w:val="nil"/>
            </w:tcBorders>
            <w:vAlign w:val="center"/>
            <w:hideMark/>
          </w:tcPr>
          <w:p w:rsidR="00BA7C9C" w:rsidRPr="002C7F50" w:rsidRDefault="00BA7C9C" w:rsidP="0011017D">
            <w:pPr>
              <w:jc w:val="center"/>
              <w:rPr>
                <w:rFonts w:ascii="Garamond" w:hAnsi="Garamond"/>
                <w:b/>
                <w:i/>
                <w:sz w:val="24"/>
                <w:szCs w:val="24"/>
              </w:rPr>
            </w:pPr>
            <w:r w:rsidRPr="002C7F50">
              <w:rPr>
                <w:rFonts w:ascii="Garamond" w:hAnsi="Garamond"/>
                <w:b/>
                <w:i/>
                <w:sz w:val="24"/>
                <w:szCs w:val="24"/>
              </w:rPr>
              <w:t>System</w:t>
            </w:r>
          </w:p>
          <w:p w:rsidR="00BA7C9C" w:rsidRPr="002C7F50" w:rsidRDefault="00BA7C9C" w:rsidP="0011017D">
            <w:pPr>
              <w:jc w:val="center"/>
              <w:rPr>
                <w:rFonts w:ascii="Garamond" w:hAnsi="Garamond"/>
                <w:b/>
                <w:sz w:val="24"/>
                <w:szCs w:val="24"/>
              </w:rPr>
            </w:pPr>
            <w:r w:rsidRPr="002C7F50">
              <w:rPr>
                <w:rFonts w:ascii="Garamond" w:hAnsi="Garamond"/>
                <w:b/>
                <w:i/>
                <w:sz w:val="24"/>
                <w:szCs w:val="24"/>
              </w:rPr>
              <w:t>GMM</w:t>
            </w:r>
          </w:p>
        </w:tc>
      </w:tr>
      <w:tr w:rsidR="00BA7C9C" w:rsidRPr="002C7F50" w:rsidTr="0011017D">
        <w:trPr>
          <w:trHeight w:val="346"/>
        </w:trPr>
        <w:tc>
          <w:tcPr>
            <w:tcW w:w="1167" w:type="pct"/>
            <w:vMerge w:val="restart"/>
            <w:tcBorders>
              <w:top w:val="single" w:sz="4" w:space="0" w:color="auto"/>
              <w:left w:val="nil"/>
              <w:bottom w:val="single" w:sz="4" w:space="0" w:color="auto"/>
              <w:right w:val="nil"/>
            </w:tcBorders>
            <w:vAlign w:val="center"/>
            <w:hideMark/>
          </w:tcPr>
          <w:p w:rsidR="00BA7C9C" w:rsidRPr="002C7F50" w:rsidRDefault="00BA7C9C" w:rsidP="0011017D">
            <w:pPr>
              <w:jc w:val="center"/>
              <w:rPr>
                <w:rFonts w:ascii="Garamond" w:hAnsi="Garamond"/>
                <w:i/>
                <w:iCs/>
                <w:sz w:val="24"/>
                <w:szCs w:val="24"/>
              </w:rPr>
            </w:pPr>
            <w:proofErr w:type="gramStart"/>
            <w:r w:rsidRPr="002C7F50">
              <w:rPr>
                <w:rFonts w:ascii="Garamond" w:hAnsi="Garamond"/>
                <w:i/>
                <w:iCs/>
                <w:sz w:val="24"/>
                <w:szCs w:val="24"/>
              </w:rPr>
              <w:t>LnY</w:t>
            </w:r>
            <w:r w:rsidRPr="002C7F50">
              <w:rPr>
                <w:rFonts w:ascii="Garamond" w:hAnsi="Garamond"/>
                <w:i/>
                <w:iCs/>
                <w:sz w:val="24"/>
                <w:szCs w:val="24"/>
                <w:vertAlign w:val="subscript"/>
              </w:rPr>
              <w:t>it</w:t>
            </w:r>
            <w:proofErr w:type="gramEnd"/>
            <w:r w:rsidRPr="002C7F50">
              <w:rPr>
                <w:rFonts w:ascii="Garamond" w:hAnsi="Garamond"/>
                <w:i/>
                <w:iCs/>
                <w:sz w:val="24"/>
                <w:szCs w:val="24"/>
                <w:vertAlign w:val="subscript"/>
              </w:rPr>
              <w:t>-1</w:t>
            </w:r>
          </w:p>
        </w:tc>
        <w:tc>
          <w:tcPr>
            <w:tcW w:w="50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0,835*</w:t>
            </w:r>
          </w:p>
        </w:tc>
        <w:tc>
          <w:tcPr>
            <w:tcW w:w="58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0,602*</w:t>
            </w:r>
          </w:p>
        </w:tc>
        <w:tc>
          <w:tcPr>
            <w:tcW w:w="71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 xml:space="preserve">  0,646*</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0,840*</w:t>
            </w:r>
          </w:p>
        </w:tc>
        <w:tc>
          <w:tcPr>
            <w:tcW w:w="62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0,615*</w:t>
            </w:r>
          </w:p>
        </w:tc>
        <w:tc>
          <w:tcPr>
            <w:tcW w:w="70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 xml:space="preserve">  0,658*</w:t>
            </w:r>
          </w:p>
        </w:tc>
      </w:tr>
      <w:tr w:rsidR="00BA7C9C" w:rsidRPr="002C7F50" w:rsidTr="0011017D">
        <w:trPr>
          <w:trHeight w:val="362"/>
        </w:trPr>
        <w:tc>
          <w:tcPr>
            <w:tcW w:w="0" w:type="auto"/>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(0,030)</w:t>
            </w:r>
          </w:p>
        </w:tc>
        <w:tc>
          <w:tcPr>
            <w:tcW w:w="58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(0,053)</w:t>
            </w:r>
          </w:p>
        </w:tc>
        <w:tc>
          <w:tcPr>
            <w:tcW w:w="71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(0,071)</w:t>
            </w: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(0,02)</w:t>
            </w:r>
          </w:p>
        </w:tc>
        <w:tc>
          <w:tcPr>
            <w:tcW w:w="62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(0,047)</w:t>
            </w:r>
          </w:p>
        </w:tc>
        <w:tc>
          <w:tcPr>
            <w:tcW w:w="70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proofErr w:type="gramStart"/>
            <w:r w:rsidRPr="002C7F50">
              <w:rPr>
                <w:rFonts w:ascii="Garamond" w:hAnsi="Garamond"/>
                <w:i/>
                <w:sz w:val="24"/>
                <w:szCs w:val="24"/>
              </w:rPr>
              <w:t>(0,0940</w:t>
            </w:r>
          </w:p>
        </w:tc>
        <w:proofErr w:type="gramEnd"/>
      </w:tr>
      <w:tr w:rsidR="00BA7C9C" w:rsidRPr="002C7F50" w:rsidTr="0011017D">
        <w:trPr>
          <w:trHeight w:val="346"/>
        </w:trPr>
        <w:tc>
          <w:tcPr>
            <w:tcW w:w="1167" w:type="pct"/>
            <w:vMerge w:val="restart"/>
            <w:tcBorders>
              <w:top w:val="single" w:sz="4" w:space="0" w:color="auto"/>
              <w:left w:val="nil"/>
              <w:bottom w:val="single" w:sz="4" w:space="0" w:color="auto"/>
              <w:right w:val="nil"/>
            </w:tcBorders>
            <w:vAlign w:val="center"/>
            <w:hideMark/>
          </w:tcPr>
          <w:p w:rsidR="00BA7C9C" w:rsidRPr="002C7F50" w:rsidRDefault="00BA7C9C" w:rsidP="0011017D">
            <w:pPr>
              <w:jc w:val="center"/>
              <w:rPr>
                <w:rFonts w:ascii="Garamond" w:hAnsi="Garamond"/>
                <w:i/>
                <w:iCs/>
                <w:sz w:val="24"/>
                <w:szCs w:val="24"/>
              </w:rPr>
            </w:pPr>
            <w:proofErr w:type="spellStart"/>
            <w:proofErr w:type="gramStart"/>
            <w:r w:rsidRPr="002C7F50">
              <w:rPr>
                <w:rFonts w:ascii="Garamond" w:hAnsi="Garamond"/>
                <w:i/>
                <w:iCs/>
                <w:sz w:val="24"/>
                <w:szCs w:val="24"/>
              </w:rPr>
              <w:t>LnH</w:t>
            </w:r>
            <w:r w:rsidRPr="002C7F50">
              <w:rPr>
                <w:rFonts w:ascii="Garamond" w:hAnsi="Garamond"/>
                <w:i/>
                <w:iCs/>
                <w:sz w:val="24"/>
                <w:szCs w:val="24"/>
                <w:vertAlign w:val="subscript"/>
              </w:rPr>
              <w:t>it</w:t>
            </w:r>
            <w:proofErr w:type="spellEnd"/>
            <w:proofErr w:type="gramEnd"/>
          </w:p>
        </w:tc>
        <w:tc>
          <w:tcPr>
            <w:tcW w:w="50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0,030</w:t>
            </w:r>
          </w:p>
        </w:tc>
        <w:tc>
          <w:tcPr>
            <w:tcW w:w="58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0,072</w:t>
            </w:r>
          </w:p>
        </w:tc>
        <w:tc>
          <w:tcPr>
            <w:tcW w:w="71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0,097</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0,020</w:t>
            </w:r>
          </w:p>
        </w:tc>
        <w:tc>
          <w:tcPr>
            <w:tcW w:w="62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0,016</w:t>
            </w:r>
          </w:p>
        </w:tc>
        <w:tc>
          <w:tcPr>
            <w:tcW w:w="70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0,1158*</w:t>
            </w:r>
          </w:p>
        </w:tc>
      </w:tr>
      <w:tr w:rsidR="00BA7C9C" w:rsidRPr="002C7F50" w:rsidTr="0011017D">
        <w:trPr>
          <w:trHeight w:val="362"/>
        </w:trPr>
        <w:tc>
          <w:tcPr>
            <w:tcW w:w="0" w:type="auto"/>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(0,022)</w:t>
            </w:r>
          </w:p>
        </w:tc>
        <w:tc>
          <w:tcPr>
            <w:tcW w:w="58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(0,046)</w:t>
            </w:r>
          </w:p>
        </w:tc>
        <w:tc>
          <w:tcPr>
            <w:tcW w:w="71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(0,066)</w:t>
            </w: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(0,015)</w:t>
            </w:r>
          </w:p>
        </w:tc>
        <w:tc>
          <w:tcPr>
            <w:tcW w:w="62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(0,021)</w:t>
            </w:r>
          </w:p>
        </w:tc>
        <w:tc>
          <w:tcPr>
            <w:tcW w:w="70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i/>
                <w:sz w:val="24"/>
                <w:szCs w:val="24"/>
              </w:rPr>
              <w:t>(0,042)</w:t>
            </w:r>
          </w:p>
        </w:tc>
      </w:tr>
      <w:tr w:rsidR="00BA7C9C" w:rsidRPr="002C7F50" w:rsidTr="0011017D">
        <w:trPr>
          <w:trHeight w:val="346"/>
        </w:trPr>
        <w:tc>
          <w:tcPr>
            <w:tcW w:w="1167" w:type="pct"/>
            <w:vMerge w:val="restart"/>
            <w:tcBorders>
              <w:top w:val="single" w:sz="4" w:space="0" w:color="auto"/>
              <w:left w:val="nil"/>
              <w:bottom w:val="single" w:sz="4" w:space="0" w:color="auto"/>
              <w:right w:val="nil"/>
            </w:tcBorders>
            <w:vAlign w:val="center"/>
            <w:hideMark/>
          </w:tcPr>
          <w:p w:rsidR="00BA7C9C" w:rsidRPr="002C7F50" w:rsidRDefault="00BA7C9C" w:rsidP="0011017D">
            <w:pPr>
              <w:jc w:val="center"/>
              <w:rPr>
                <w:rFonts w:ascii="Garamond" w:hAnsi="Garamond"/>
                <w:i/>
                <w:iCs/>
                <w:sz w:val="24"/>
                <w:szCs w:val="24"/>
              </w:rPr>
            </w:pPr>
            <w:proofErr w:type="spellStart"/>
            <w:proofErr w:type="gramStart"/>
            <w:r w:rsidRPr="002C7F50">
              <w:rPr>
                <w:rFonts w:ascii="Garamond" w:hAnsi="Garamond"/>
                <w:i/>
                <w:iCs/>
                <w:sz w:val="24"/>
                <w:szCs w:val="24"/>
              </w:rPr>
              <w:t>LnK</w:t>
            </w:r>
            <w:r w:rsidRPr="002C7F50">
              <w:rPr>
                <w:rFonts w:ascii="Garamond" w:hAnsi="Garamond"/>
                <w:i/>
                <w:iCs/>
                <w:sz w:val="24"/>
                <w:szCs w:val="24"/>
                <w:vertAlign w:val="subscript"/>
              </w:rPr>
              <w:t>it</w:t>
            </w:r>
            <w:proofErr w:type="spellEnd"/>
            <w:proofErr w:type="gramEnd"/>
          </w:p>
        </w:tc>
        <w:tc>
          <w:tcPr>
            <w:tcW w:w="50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0,030*</w:t>
            </w:r>
          </w:p>
        </w:tc>
        <w:tc>
          <w:tcPr>
            <w:tcW w:w="58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0,119**</w:t>
            </w:r>
          </w:p>
        </w:tc>
        <w:tc>
          <w:tcPr>
            <w:tcW w:w="71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0,071***</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0,034*</w:t>
            </w:r>
          </w:p>
        </w:tc>
        <w:tc>
          <w:tcPr>
            <w:tcW w:w="62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0,128*</w:t>
            </w:r>
          </w:p>
        </w:tc>
        <w:tc>
          <w:tcPr>
            <w:tcW w:w="70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0,060***</w:t>
            </w:r>
          </w:p>
        </w:tc>
      </w:tr>
      <w:tr w:rsidR="00BA7C9C" w:rsidRPr="002C7F50" w:rsidTr="0011017D">
        <w:trPr>
          <w:trHeight w:val="362"/>
        </w:trPr>
        <w:tc>
          <w:tcPr>
            <w:tcW w:w="0" w:type="auto"/>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(0,013)</w:t>
            </w:r>
          </w:p>
        </w:tc>
        <w:tc>
          <w:tcPr>
            <w:tcW w:w="58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(0,054)</w:t>
            </w:r>
          </w:p>
        </w:tc>
        <w:tc>
          <w:tcPr>
            <w:tcW w:w="71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(0,037)</w:t>
            </w: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(0,012)</w:t>
            </w:r>
          </w:p>
        </w:tc>
        <w:tc>
          <w:tcPr>
            <w:tcW w:w="62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(0,049)</w:t>
            </w:r>
          </w:p>
        </w:tc>
        <w:tc>
          <w:tcPr>
            <w:tcW w:w="70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i/>
                <w:sz w:val="24"/>
                <w:szCs w:val="24"/>
              </w:rPr>
              <w:t>(0,034)</w:t>
            </w:r>
          </w:p>
        </w:tc>
      </w:tr>
      <w:tr w:rsidR="00BA7C9C" w:rsidRPr="002C7F50" w:rsidTr="0011017D">
        <w:trPr>
          <w:trHeight w:val="346"/>
        </w:trPr>
        <w:tc>
          <w:tcPr>
            <w:tcW w:w="1167" w:type="pct"/>
            <w:vMerge w:val="restart"/>
            <w:tcBorders>
              <w:top w:val="single" w:sz="4" w:space="0" w:color="auto"/>
              <w:left w:val="nil"/>
              <w:bottom w:val="single" w:sz="4" w:space="0" w:color="auto"/>
              <w:right w:val="nil"/>
            </w:tcBorders>
            <w:vAlign w:val="center"/>
            <w:hideMark/>
          </w:tcPr>
          <w:p w:rsidR="00BA7C9C" w:rsidRPr="002C7F50" w:rsidRDefault="00BA7C9C" w:rsidP="0011017D">
            <w:pPr>
              <w:jc w:val="center"/>
              <w:rPr>
                <w:rFonts w:ascii="Garamond" w:hAnsi="Garamond"/>
                <w:i/>
                <w:iCs/>
                <w:sz w:val="24"/>
                <w:szCs w:val="24"/>
              </w:rPr>
            </w:pPr>
            <w:proofErr w:type="spellStart"/>
            <w:proofErr w:type="gramStart"/>
            <w:r w:rsidRPr="002C7F50">
              <w:rPr>
                <w:rFonts w:ascii="Garamond" w:hAnsi="Garamond"/>
                <w:i/>
                <w:iCs/>
                <w:sz w:val="24"/>
                <w:szCs w:val="24"/>
              </w:rPr>
              <w:t>LnZ</w:t>
            </w:r>
            <w:r w:rsidRPr="002C7F50">
              <w:rPr>
                <w:rFonts w:ascii="Garamond" w:hAnsi="Garamond"/>
                <w:i/>
                <w:iCs/>
                <w:sz w:val="24"/>
                <w:szCs w:val="24"/>
                <w:vertAlign w:val="subscript"/>
              </w:rPr>
              <w:t>it</w:t>
            </w:r>
            <w:proofErr w:type="spellEnd"/>
            <w:proofErr w:type="gramEnd"/>
          </w:p>
        </w:tc>
        <w:tc>
          <w:tcPr>
            <w:tcW w:w="50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0,005</w:t>
            </w:r>
          </w:p>
        </w:tc>
        <w:tc>
          <w:tcPr>
            <w:tcW w:w="58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-0,001</w:t>
            </w:r>
          </w:p>
        </w:tc>
        <w:tc>
          <w:tcPr>
            <w:tcW w:w="71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-0,034***</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0,006</w:t>
            </w:r>
          </w:p>
        </w:tc>
        <w:tc>
          <w:tcPr>
            <w:tcW w:w="62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0,003</w:t>
            </w:r>
          </w:p>
        </w:tc>
        <w:tc>
          <w:tcPr>
            <w:tcW w:w="70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-0,031***</w:t>
            </w:r>
          </w:p>
        </w:tc>
      </w:tr>
      <w:tr w:rsidR="00BA7C9C" w:rsidRPr="002C7F50" w:rsidTr="0011017D">
        <w:trPr>
          <w:trHeight w:val="362"/>
        </w:trPr>
        <w:tc>
          <w:tcPr>
            <w:tcW w:w="0" w:type="auto"/>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(0,005)</w:t>
            </w:r>
          </w:p>
        </w:tc>
        <w:tc>
          <w:tcPr>
            <w:tcW w:w="58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(0,009)</w:t>
            </w:r>
          </w:p>
        </w:tc>
        <w:tc>
          <w:tcPr>
            <w:tcW w:w="71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(0,019)</w:t>
            </w: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(0,004)</w:t>
            </w:r>
          </w:p>
        </w:tc>
        <w:tc>
          <w:tcPr>
            <w:tcW w:w="62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(0,007)</w:t>
            </w:r>
          </w:p>
        </w:tc>
        <w:tc>
          <w:tcPr>
            <w:tcW w:w="70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i/>
                <w:sz w:val="24"/>
                <w:szCs w:val="24"/>
              </w:rPr>
              <w:t>(0,017)</w:t>
            </w:r>
          </w:p>
        </w:tc>
      </w:tr>
      <w:tr w:rsidR="00BA7C9C" w:rsidRPr="002C7F50" w:rsidTr="0011017D">
        <w:trPr>
          <w:trHeight w:val="346"/>
        </w:trPr>
        <w:tc>
          <w:tcPr>
            <w:tcW w:w="1167" w:type="pct"/>
            <w:vMerge w:val="restart"/>
            <w:tcBorders>
              <w:top w:val="single" w:sz="4" w:space="0" w:color="auto"/>
              <w:left w:val="nil"/>
              <w:bottom w:val="single" w:sz="4" w:space="0" w:color="auto"/>
              <w:right w:val="nil"/>
            </w:tcBorders>
            <w:vAlign w:val="center"/>
            <w:hideMark/>
          </w:tcPr>
          <w:p w:rsidR="00BA7C9C" w:rsidRPr="002C7F50" w:rsidRDefault="00BA7C9C" w:rsidP="0011017D">
            <w:pPr>
              <w:jc w:val="center"/>
              <w:rPr>
                <w:rFonts w:ascii="Garamond" w:hAnsi="Garamond"/>
                <w:i/>
                <w:iCs/>
                <w:sz w:val="24"/>
                <w:szCs w:val="24"/>
              </w:rPr>
            </w:pPr>
            <w:proofErr w:type="spellStart"/>
            <w:r w:rsidRPr="002C7F50">
              <w:rPr>
                <w:rFonts w:ascii="Garamond" w:hAnsi="Garamond"/>
                <w:i/>
                <w:iCs/>
                <w:sz w:val="24"/>
                <w:szCs w:val="24"/>
              </w:rPr>
              <w:t>Dpolos</w:t>
            </w:r>
            <w:proofErr w:type="spellEnd"/>
            <w:r w:rsidRPr="002C7F50">
              <w:rPr>
                <w:rFonts w:ascii="Garamond" w:hAnsi="Garamond"/>
                <w:i/>
                <w:iCs/>
                <w:sz w:val="24"/>
                <w:szCs w:val="24"/>
              </w:rPr>
              <w:t>*</w:t>
            </w:r>
            <w:proofErr w:type="spellStart"/>
            <w:r w:rsidRPr="002C7F50">
              <w:rPr>
                <w:rFonts w:ascii="Garamond" w:hAnsi="Garamond"/>
                <w:i/>
                <w:iCs/>
                <w:sz w:val="24"/>
                <w:szCs w:val="24"/>
              </w:rPr>
              <w:t>Z</w:t>
            </w:r>
            <w:r w:rsidRPr="002C7F50">
              <w:rPr>
                <w:rFonts w:ascii="Garamond" w:hAnsi="Garamond"/>
                <w:i/>
                <w:iCs/>
                <w:sz w:val="24"/>
                <w:szCs w:val="24"/>
                <w:vertAlign w:val="subscript"/>
              </w:rPr>
              <w:t>it</w:t>
            </w:r>
            <w:proofErr w:type="spellEnd"/>
          </w:p>
        </w:tc>
        <w:tc>
          <w:tcPr>
            <w:tcW w:w="50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0,173</w:t>
            </w:r>
          </w:p>
        </w:tc>
        <w:tc>
          <w:tcPr>
            <w:tcW w:w="58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-0,231</w:t>
            </w:r>
          </w:p>
        </w:tc>
        <w:tc>
          <w:tcPr>
            <w:tcW w:w="71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 xml:space="preserve">    2,216**</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0,209</w:t>
            </w:r>
          </w:p>
        </w:tc>
        <w:tc>
          <w:tcPr>
            <w:tcW w:w="62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-0,248</w:t>
            </w:r>
          </w:p>
        </w:tc>
        <w:tc>
          <w:tcPr>
            <w:tcW w:w="70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3,505*</w:t>
            </w:r>
          </w:p>
        </w:tc>
      </w:tr>
      <w:tr w:rsidR="00BA7C9C" w:rsidRPr="002C7F50" w:rsidTr="0011017D">
        <w:trPr>
          <w:trHeight w:val="362"/>
        </w:trPr>
        <w:tc>
          <w:tcPr>
            <w:tcW w:w="0" w:type="auto"/>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(0,326)</w:t>
            </w:r>
          </w:p>
        </w:tc>
        <w:tc>
          <w:tcPr>
            <w:tcW w:w="58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(0,600)</w:t>
            </w:r>
          </w:p>
        </w:tc>
        <w:tc>
          <w:tcPr>
            <w:tcW w:w="71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(0,850)</w:t>
            </w: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(0,464)</w:t>
            </w:r>
          </w:p>
        </w:tc>
        <w:tc>
          <w:tcPr>
            <w:tcW w:w="62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(0,896)</w:t>
            </w:r>
          </w:p>
        </w:tc>
        <w:tc>
          <w:tcPr>
            <w:tcW w:w="70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i/>
                <w:sz w:val="24"/>
                <w:szCs w:val="24"/>
              </w:rPr>
              <w:t>(1,254)</w:t>
            </w:r>
          </w:p>
        </w:tc>
      </w:tr>
      <w:tr w:rsidR="00BA7C9C" w:rsidRPr="002C7F50" w:rsidTr="0011017D">
        <w:trPr>
          <w:trHeight w:val="346"/>
        </w:trPr>
        <w:tc>
          <w:tcPr>
            <w:tcW w:w="1167" w:type="pct"/>
            <w:vMerge w:val="restart"/>
            <w:tcBorders>
              <w:top w:val="single" w:sz="4" w:space="0" w:color="auto"/>
              <w:left w:val="nil"/>
              <w:bottom w:val="single" w:sz="4" w:space="0" w:color="auto"/>
              <w:right w:val="nil"/>
            </w:tcBorders>
            <w:vAlign w:val="center"/>
            <w:hideMark/>
          </w:tcPr>
          <w:p w:rsidR="00BA7C9C" w:rsidRPr="002C7F50" w:rsidRDefault="00BA7C9C" w:rsidP="0011017D">
            <w:pPr>
              <w:jc w:val="center"/>
              <w:rPr>
                <w:rFonts w:ascii="Garamond" w:hAnsi="Garamond"/>
                <w:i/>
                <w:iCs/>
                <w:sz w:val="24"/>
                <w:szCs w:val="24"/>
              </w:rPr>
            </w:pPr>
            <w:r w:rsidRPr="002C7F50">
              <w:rPr>
                <w:rFonts w:ascii="Garamond" w:hAnsi="Garamond"/>
                <w:i/>
                <w:iCs/>
                <w:sz w:val="24"/>
                <w:szCs w:val="24"/>
              </w:rPr>
              <w:t>Const.</w:t>
            </w:r>
          </w:p>
        </w:tc>
        <w:tc>
          <w:tcPr>
            <w:tcW w:w="50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0,410*</w:t>
            </w:r>
          </w:p>
        </w:tc>
        <w:tc>
          <w:tcPr>
            <w:tcW w:w="58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0,975*</w:t>
            </w:r>
          </w:p>
        </w:tc>
        <w:tc>
          <w:tcPr>
            <w:tcW w:w="714"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 xml:space="preserve">  0,732*</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0,377</w:t>
            </w:r>
          </w:p>
        </w:tc>
        <w:tc>
          <w:tcPr>
            <w:tcW w:w="62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0,857</w:t>
            </w:r>
          </w:p>
        </w:tc>
        <w:tc>
          <w:tcPr>
            <w:tcW w:w="700"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0,817*</w:t>
            </w:r>
          </w:p>
        </w:tc>
      </w:tr>
      <w:tr w:rsidR="00BA7C9C" w:rsidRPr="002C7F50" w:rsidTr="0011017D">
        <w:trPr>
          <w:trHeight w:val="346"/>
        </w:trPr>
        <w:tc>
          <w:tcPr>
            <w:tcW w:w="0" w:type="auto"/>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i/>
                <w:iCs/>
                <w:sz w:val="24"/>
                <w:szCs w:val="24"/>
              </w:rPr>
            </w:pPr>
          </w:p>
        </w:tc>
        <w:tc>
          <w:tcPr>
            <w:tcW w:w="50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(0,098)</w:t>
            </w:r>
          </w:p>
        </w:tc>
        <w:tc>
          <w:tcPr>
            <w:tcW w:w="58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(0,165)</w:t>
            </w:r>
          </w:p>
        </w:tc>
        <w:tc>
          <w:tcPr>
            <w:tcW w:w="714"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(0,237)</w:t>
            </w: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(0,073)</w:t>
            </w:r>
          </w:p>
        </w:tc>
        <w:tc>
          <w:tcPr>
            <w:tcW w:w="62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highlight w:val="yellow"/>
              </w:rPr>
            </w:pPr>
            <w:r w:rsidRPr="002C7F50">
              <w:rPr>
                <w:rFonts w:ascii="Garamond" w:hAnsi="Garamond"/>
                <w:sz w:val="24"/>
                <w:szCs w:val="24"/>
                <w:highlight w:val="yellow"/>
              </w:rPr>
              <w:t>(0,131)</w:t>
            </w:r>
          </w:p>
        </w:tc>
        <w:tc>
          <w:tcPr>
            <w:tcW w:w="700"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i/>
                <w:sz w:val="24"/>
                <w:szCs w:val="24"/>
              </w:rPr>
              <w:t>(0,249)</w:t>
            </w:r>
          </w:p>
        </w:tc>
      </w:tr>
      <w:tr w:rsidR="00BA7C9C" w:rsidRPr="002C7F50" w:rsidTr="0011017D">
        <w:trPr>
          <w:trHeight w:val="331"/>
        </w:trPr>
        <w:tc>
          <w:tcPr>
            <w:tcW w:w="2966" w:type="pct"/>
            <w:gridSpan w:val="4"/>
            <w:vMerge w:val="restart"/>
            <w:tcBorders>
              <w:top w:val="single" w:sz="4" w:space="0" w:color="auto"/>
              <w:left w:val="nil"/>
              <w:bottom w:val="single" w:sz="4" w:space="0" w:color="auto"/>
              <w:right w:val="nil"/>
            </w:tcBorders>
            <w:vAlign w:val="center"/>
            <w:hideMark/>
          </w:tcPr>
          <w:p w:rsidR="00BA7C9C" w:rsidRPr="002C7F50" w:rsidRDefault="00BA7C9C" w:rsidP="0011017D">
            <w:pPr>
              <w:rPr>
                <w:rFonts w:ascii="Garamond" w:hAnsi="Garamond"/>
                <w:sz w:val="24"/>
                <w:szCs w:val="24"/>
              </w:rPr>
            </w:pPr>
            <w:r w:rsidRPr="002C7F50">
              <w:rPr>
                <w:rFonts w:ascii="Garamond" w:hAnsi="Garamond"/>
                <w:i/>
                <w:iCs/>
                <w:sz w:val="24"/>
                <w:szCs w:val="24"/>
              </w:rPr>
              <w:t>H</w:t>
            </w:r>
            <w:r w:rsidRPr="002C7F50">
              <w:rPr>
                <w:rFonts w:ascii="Garamond" w:hAnsi="Garamond"/>
                <w:i/>
                <w:iCs/>
                <w:sz w:val="24"/>
                <w:szCs w:val="24"/>
                <w:vertAlign w:val="subscript"/>
              </w:rPr>
              <w:t>0</w:t>
            </w:r>
            <w:r w:rsidRPr="002C7F50">
              <w:rPr>
                <w:rFonts w:ascii="Garamond" w:hAnsi="Garamond"/>
                <w:sz w:val="24"/>
                <w:szCs w:val="24"/>
              </w:rPr>
              <w:t xml:space="preserve">: Ausência de </w:t>
            </w:r>
            <w:proofErr w:type="spellStart"/>
            <w:r w:rsidRPr="002C7F50">
              <w:rPr>
                <w:rFonts w:ascii="Garamond" w:hAnsi="Garamond"/>
                <w:sz w:val="24"/>
                <w:szCs w:val="24"/>
              </w:rPr>
              <w:t>autocorrelação</w:t>
            </w:r>
            <w:proofErr w:type="spellEnd"/>
            <w:r w:rsidRPr="002C7F50">
              <w:rPr>
                <w:rFonts w:ascii="Garamond" w:hAnsi="Garamond"/>
                <w:sz w:val="24"/>
                <w:szCs w:val="24"/>
              </w:rPr>
              <w:t xml:space="preserve"> nos resíduos de primeira ordem (System-GMM)</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0,008</w:t>
            </w:r>
          </w:p>
        </w:tc>
      </w:tr>
      <w:tr w:rsidR="00BA7C9C" w:rsidRPr="002C7F50" w:rsidTr="0011017D">
        <w:trPr>
          <w:trHeight w:val="315"/>
        </w:trPr>
        <w:tc>
          <w:tcPr>
            <w:tcW w:w="0" w:type="auto"/>
            <w:gridSpan w:val="4"/>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0,00</w:t>
            </w:r>
          </w:p>
        </w:tc>
      </w:tr>
      <w:tr w:rsidR="00BA7C9C" w:rsidRPr="002C7F50" w:rsidTr="0011017D">
        <w:trPr>
          <w:trHeight w:val="315"/>
        </w:trPr>
        <w:tc>
          <w:tcPr>
            <w:tcW w:w="2966" w:type="pct"/>
            <w:gridSpan w:val="4"/>
            <w:vMerge w:val="restart"/>
            <w:tcBorders>
              <w:top w:val="single" w:sz="4" w:space="0" w:color="auto"/>
              <w:left w:val="nil"/>
              <w:bottom w:val="single" w:sz="4" w:space="0" w:color="auto"/>
              <w:right w:val="nil"/>
            </w:tcBorders>
            <w:vAlign w:val="center"/>
            <w:hideMark/>
          </w:tcPr>
          <w:p w:rsidR="00BA7C9C" w:rsidRPr="002C7F50" w:rsidRDefault="00BA7C9C" w:rsidP="0011017D">
            <w:pPr>
              <w:rPr>
                <w:rFonts w:ascii="Garamond" w:hAnsi="Garamond"/>
                <w:sz w:val="24"/>
                <w:szCs w:val="24"/>
              </w:rPr>
            </w:pPr>
            <w:r w:rsidRPr="002C7F50">
              <w:rPr>
                <w:rFonts w:ascii="Garamond" w:hAnsi="Garamond"/>
                <w:i/>
                <w:iCs/>
                <w:sz w:val="24"/>
                <w:szCs w:val="24"/>
              </w:rPr>
              <w:t>H</w:t>
            </w:r>
            <w:r w:rsidRPr="002C7F50">
              <w:rPr>
                <w:rFonts w:ascii="Garamond" w:hAnsi="Garamond"/>
                <w:i/>
                <w:iCs/>
                <w:sz w:val="24"/>
                <w:szCs w:val="24"/>
                <w:vertAlign w:val="subscript"/>
              </w:rPr>
              <w:t>0</w:t>
            </w:r>
            <w:r w:rsidRPr="002C7F50">
              <w:rPr>
                <w:rFonts w:ascii="Garamond" w:hAnsi="Garamond"/>
                <w:sz w:val="24"/>
                <w:szCs w:val="24"/>
              </w:rPr>
              <w:t xml:space="preserve">: Ausência de </w:t>
            </w:r>
            <w:proofErr w:type="spellStart"/>
            <w:r w:rsidRPr="002C7F50">
              <w:rPr>
                <w:rFonts w:ascii="Garamond" w:hAnsi="Garamond"/>
                <w:sz w:val="24"/>
                <w:szCs w:val="24"/>
              </w:rPr>
              <w:t>autocorrelação</w:t>
            </w:r>
            <w:proofErr w:type="spellEnd"/>
            <w:r w:rsidRPr="002C7F50">
              <w:rPr>
                <w:rFonts w:ascii="Garamond" w:hAnsi="Garamond"/>
                <w:sz w:val="24"/>
                <w:szCs w:val="24"/>
              </w:rPr>
              <w:t xml:space="preserve"> nos resíduos de segunda ordem (System-GMM)</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0,467</w:t>
            </w:r>
          </w:p>
        </w:tc>
      </w:tr>
      <w:tr w:rsidR="00BA7C9C" w:rsidRPr="002C7F50" w:rsidTr="0011017D">
        <w:trPr>
          <w:trHeight w:val="698"/>
        </w:trPr>
        <w:tc>
          <w:tcPr>
            <w:tcW w:w="0" w:type="auto"/>
            <w:gridSpan w:val="4"/>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0,480</w:t>
            </w:r>
          </w:p>
        </w:tc>
      </w:tr>
      <w:tr w:rsidR="00BA7C9C" w:rsidRPr="002C7F50" w:rsidTr="0011017D">
        <w:trPr>
          <w:trHeight w:val="315"/>
        </w:trPr>
        <w:tc>
          <w:tcPr>
            <w:tcW w:w="2966" w:type="pct"/>
            <w:gridSpan w:val="4"/>
            <w:vMerge w:val="restart"/>
            <w:tcBorders>
              <w:top w:val="single" w:sz="4" w:space="0" w:color="auto"/>
              <w:left w:val="nil"/>
              <w:bottom w:val="single" w:sz="4" w:space="0" w:color="auto"/>
              <w:right w:val="nil"/>
            </w:tcBorders>
            <w:vAlign w:val="center"/>
            <w:hideMark/>
          </w:tcPr>
          <w:p w:rsidR="00BA7C9C" w:rsidRPr="002C7F50" w:rsidRDefault="00BA7C9C" w:rsidP="0011017D">
            <w:pPr>
              <w:rPr>
                <w:rFonts w:ascii="Garamond" w:hAnsi="Garamond"/>
                <w:sz w:val="24"/>
                <w:szCs w:val="24"/>
              </w:rPr>
            </w:pPr>
            <w:r w:rsidRPr="002C7F50">
              <w:rPr>
                <w:rFonts w:ascii="Garamond" w:hAnsi="Garamond"/>
                <w:sz w:val="24"/>
                <w:szCs w:val="24"/>
              </w:rPr>
              <w:t xml:space="preserve">Teste de </w:t>
            </w:r>
            <w:proofErr w:type="spellStart"/>
            <w:r w:rsidRPr="002C7F50">
              <w:rPr>
                <w:rFonts w:ascii="Garamond" w:hAnsi="Garamond"/>
                <w:sz w:val="24"/>
                <w:szCs w:val="24"/>
              </w:rPr>
              <w:t>Sargan</w:t>
            </w:r>
            <w:proofErr w:type="spellEnd"/>
            <w:r w:rsidRPr="002C7F50">
              <w:rPr>
                <w:rFonts w:ascii="Garamond" w:hAnsi="Garamond"/>
                <w:sz w:val="24"/>
                <w:szCs w:val="24"/>
              </w:rPr>
              <w:t xml:space="preserve"> (System-GMM)</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0,248</w:t>
            </w:r>
          </w:p>
        </w:tc>
      </w:tr>
      <w:tr w:rsidR="00BA7C9C" w:rsidRPr="002C7F50" w:rsidTr="0011017D">
        <w:trPr>
          <w:trHeight w:val="315"/>
        </w:trPr>
        <w:tc>
          <w:tcPr>
            <w:tcW w:w="0" w:type="auto"/>
            <w:gridSpan w:val="4"/>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0,776</w:t>
            </w:r>
          </w:p>
        </w:tc>
      </w:tr>
      <w:tr w:rsidR="00BA7C9C" w:rsidRPr="002C7F50" w:rsidTr="0011017D">
        <w:trPr>
          <w:trHeight w:val="331"/>
        </w:trPr>
        <w:tc>
          <w:tcPr>
            <w:tcW w:w="2966" w:type="pct"/>
            <w:gridSpan w:val="4"/>
            <w:vMerge w:val="restart"/>
            <w:tcBorders>
              <w:top w:val="single" w:sz="4" w:space="0" w:color="auto"/>
              <w:left w:val="nil"/>
              <w:bottom w:val="single" w:sz="4" w:space="0" w:color="auto"/>
              <w:right w:val="nil"/>
            </w:tcBorders>
            <w:vAlign w:val="center"/>
            <w:hideMark/>
          </w:tcPr>
          <w:p w:rsidR="00BA7C9C" w:rsidRPr="002C7F50" w:rsidRDefault="00BA7C9C" w:rsidP="0011017D">
            <w:pPr>
              <w:rPr>
                <w:rFonts w:ascii="Garamond" w:hAnsi="Garamond"/>
                <w:sz w:val="24"/>
                <w:szCs w:val="24"/>
              </w:rPr>
            </w:pPr>
            <w:r w:rsidRPr="002C7F50">
              <w:rPr>
                <w:rFonts w:ascii="Garamond" w:hAnsi="Garamond"/>
                <w:sz w:val="24"/>
                <w:szCs w:val="24"/>
              </w:rPr>
              <w:t>Teste de Hansen (System-GMM)</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0,486</w:t>
            </w:r>
          </w:p>
        </w:tc>
      </w:tr>
      <w:tr w:rsidR="00BA7C9C" w:rsidRPr="002C7F50" w:rsidTr="0011017D">
        <w:trPr>
          <w:trHeight w:val="315"/>
        </w:trPr>
        <w:tc>
          <w:tcPr>
            <w:tcW w:w="0" w:type="auto"/>
            <w:gridSpan w:val="4"/>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0,464</w:t>
            </w:r>
          </w:p>
        </w:tc>
      </w:tr>
      <w:tr w:rsidR="00BA7C9C" w:rsidRPr="002C7F50" w:rsidTr="0011017D">
        <w:trPr>
          <w:trHeight w:val="331"/>
        </w:trPr>
        <w:tc>
          <w:tcPr>
            <w:tcW w:w="2966" w:type="pct"/>
            <w:gridSpan w:val="4"/>
            <w:vMerge w:val="restart"/>
            <w:tcBorders>
              <w:top w:val="single" w:sz="4" w:space="0" w:color="auto"/>
              <w:left w:val="nil"/>
              <w:bottom w:val="single" w:sz="4" w:space="0" w:color="auto"/>
              <w:right w:val="nil"/>
            </w:tcBorders>
            <w:vAlign w:val="center"/>
            <w:hideMark/>
          </w:tcPr>
          <w:p w:rsidR="00BA7C9C" w:rsidRPr="002C7F50" w:rsidRDefault="00BA7C9C" w:rsidP="0011017D">
            <w:pPr>
              <w:rPr>
                <w:rFonts w:ascii="Garamond" w:hAnsi="Garamond"/>
                <w:sz w:val="24"/>
                <w:szCs w:val="24"/>
              </w:rPr>
            </w:pPr>
            <w:r w:rsidRPr="002C7F50">
              <w:rPr>
                <w:rFonts w:ascii="Garamond" w:hAnsi="Garamond"/>
                <w:sz w:val="24"/>
                <w:szCs w:val="24"/>
              </w:rPr>
              <w:t>Teste de Hansen Grupo Excluído (System-GMM)</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0,463</w:t>
            </w:r>
          </w:p>
        </w:tc>
      </w:tr>
      <w:tr w:rsidR="00BA7C9C" w:rsidRPr="002C7F50" w:rsidTr="0011017D">
        <w:trPr>
          <w:trHeight w:val="315"/>
        </w:trPr>
        <w:tc>
          <w:tcPr>
            <w:tcW w:w="0" w:type="auto"/>
            <w:gridSpan w:val="4"/>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0,687</w:t>
            </w:r>
          </w:p>
        </w:tc>
      </w:tr>
      <w:tr w:rsidR="00BA7C9C" w:rsidRPr="002C7F50" w:rsidTr="0011017D">
        <w:trPr>
          <w:trHeight w:val="315"/>
        </w:trPr>
        <w:tc>
          <w:tcPr>
            <w:tcW w:w="2966" w:type="pct"/>
            <w:gridSpan w:val="4"/>
            <w:vMerge w:val="restart"/>
            <w:tcBorders>
              <w:top w:val="single" w:sz="4" w:space="0" w:color="auto"/>
              <w:left w:val="nil"/>
              <w:bottom w:val="single" w:sz="4" w:space="0" w:color="auto"/>
              <w:right w:val="nil"/>
            </w:tcBorders>
            <w:vAlign w:val="center"/>
            <w:hideMark/>
          </w:tcPr>
          <w:p w:rsidR="00BA7C9C" w:rsidRPr="002C7F50" w:rsidRDefault="00BA7C9C" w:rsidP="0011017D">
            <w:pPr>
              <w:rPr>
                <w:rFonts w:ascii="Garamond" w:hAnsi="Garamond"/>
                <w:sz w:val="24"/>
                <w:szCs w:val="24"/>
                <w:lang w:val="en-US"/>
              </w:rPr>
            </w:pPr>
            <w:r w:rsidRPr="002C7F50">
              <w:rPr>
                <w:rFonts w:ascii="Garamond" w:hAnsi="Garamond"/>
                <w:sz w:val="24"/>
                <w:szCs w:val="24"/>
                <w:lang w:val="en-US"/>
              </w:rPr>
              <w:t xml:space="preserve">Teste </w:t>
            </w:r>
            <w:r w:rsidRPr="002C7F50">
              <w:rPr>
                <w:rFonts w:ascii="Garamond" w:hAnsi="Garamond"/>
                <w:i/>
                <w:iCs/>
                <w:sz w:val="24"/>
                <w:szCs w:val="24"/>
                <w:lang w:val="en-US"/>
              </w:rPr>
              <w:t>Difference</w:t>
            </w:r>
            <w:r w:rsidRPr="002C7F50">
              <w:rPr>
                <w:rFonts w:ascii="Garamond" w:hAnsi="Garamond"/>
                <w:sz w:val="24"/>
                <w:szCs w:val="24"/>
                <w:lang w:val="en-US"/>
              </w:rPr>
              <w:t>-Hansen (System-GMM)</w:t>
            </w:r>
          </w:p>
        </w:tc>
        <w:tc>
          <w:tcPr>
            <w:tcW w:w="715" w:type="pct"/>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Estatística</w:t>
            </w:r>
          </w:p>
        </w:tc>
        <w:tc>
          <w:tcPr>
            <w:tcW w:w="1320" w:type="pct"/>
            <w:gridSpan w:val="2"/>
            <w:tcBorders>
              <w:top w:val="single" w:sz="4" w:space="0" w:color="auto"/>
              <w:left w:val="nil"/>
              <w:bottom w:val="nil"/>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0,564</w:t>
            </w:r>
          </w:p>
        </w:tc>
      </w:tr>
      <w:tr w:rsidR="00BA7C9C" w:rsidRPr="002C7F50" w:rsidTr="0011017D">
        <w:trPr>
          <w:trHeight w:val="724"/>
        </w:trPr>
        <w:tc>
          <w:tcPr>
            <w:tcW w:w="0" w:type="auto"/>
            <w:gridSpan w:val="4"/>
            <w:vMerge/>
            <w:tcBorders>
              <w:top w:val="single" w:sz="4" w:space="0" w:color="auto"/>
              <w:left w:val="nil"/>
              <w:bottom w:val="single" w:sz="4" w:space="0" w:color="auto"/>
              <w:right w:val="nil"/>
            </w:tcBorders>
            <w:vAlign w:val="center"/>
            <w:hideMark/>
          </w:tcPr>
          <w:p w:rsidR="00BA7C9C" w:rsidRPr="002C7F50" w:rsidRDefault="00BA7C9C" w:rsidP="0011017D">
            <w:pPr>
              <w:rPr>
                <w:rFonts w:ascii="Garamond" w:eastAsia="Times New Roman" w:hAnsi="Garamond"/>
                <w:sz w:val="24"/>
                <w:szCs w:val="24"/>
              </w:rPr>
            </w:pPr>
          </w:p>
        </w:tc>
        <w:tc>
          <w:tcPr>
            <w:tcW w:w="715" w:type="pct"/>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P-Valor</w:t>
            </w:r>
          </w:p>
        </w:tc>
        <w:tc>
          <w:tcPr>
            <w:tcW w:w="1320" w:type="pct"/>
            <w:gridSpan w:val="2"/>
            <w:tcBorders>
              <w:top w:val="nil"/>
              <w:left w:val="nil"/>
              <w:bottom w:val="single" w:sz="4" w:space="0" w:color="auto"/>
              <w:right w:val="nil"/>
            </w:tcBorders>
            <w:vAlign w:val="center"/>
            <w:hideMark/>
          </w:tcPr>
          <w:p w:rsidR="00BA7C9C" w:rsidRPr="002C7F50" w:rsidRDefault="00BA7C9C" w:rsidP="0011017D">
            <w:pPr>
              <w:jc w:val="center"/>
              <w:rPr>
                <w:rFonts w:ascii="Garamond" w:hAnsi="Garamond"/>
                <w:sz w:val="24"/>
                <w:szCs w:val="24"/>
              </w:rPr>
            </w:pPr>
            <w:r w:rsidRPr="002C7F50">
              <w:rPr>
                <w:rFonts w:ascii="Garamond" w:hAnsi="Garamond"/>
                <w:sz w:val="24"/>
                <w:szCs w:val="24"/>
              </w:rPr>
              <w:t>0,157</w:t>
            </w:r>
          </w:p>
        </w:tc>
      </w:tr>
      <w:tr w:rsidR="00BA7C9C" w:rsidRPr="002C7F50" w:rsidTr="0011017D">
        <w:trPr>
          <w:trHeight w:val="2035"/>
        </w:trPr>
        <w:tc>
          <w:tcPr>
            <w:tcW w:w="5000" w:type="pct"/>
            <w:gridSpan w:val="7"/>
            <w:tcBorders>
              <w:top w:val="single" w:sz="4" w:space="0" w:color="auto"/>
              <w:left w:val="nil"/>
              <w:bottom w:val="nil"/>
              <w:right w:val="nil"/>
            </w:tcBorders>
            <w:vAlign w:val="center"/>
          </w:tcPr>
          <w:p w:rsidR="00BA7C9C" w:rsidRPr="002C7F50" w:rsidRDefault="00BA7C9C" w:rsidP="0011017D">
            <w:pPr>
              <w:pStyle w:val="Default"/>
              <w:jc w:val="both"/>
              <w:rPr>
                <w:rFonts w:ascii="Garamond" w:hAnsi="Garamond"/>
                <w:color w:val="auto"/>
              </w:rPr>
            </w:pPr>
            <w:r w:rsidRPr="002C7F50">
              <w:rPr>
                <w:rFonts w:ascii="Garamond" w:hAnsi="Garamond"/>
                <w:color w:val="auto"/>
              </w:rPr>
              <w:t xml:space="preserve">Fonte: Elaborado pelos autores. Obs.: (i) Os valores em parênteses são os erros padrão. No caso do System-GMM, esses erros foram corrigidos para amostras finitas pelo método de </w:t>
            </w:r>
            <w:proofErr w:type="spellStart"/>
            <w:r w:rsidRPr="002C7F50">
              <w:rPr>
                <w:rFonts w:ascii="Garamond" w:hAnsi="Garamond"/>
                <w:color w:val="auto"/>
              </w:rPr>
              <w:t>Windmeijer</w:t>
            </w:r>
            <w:proofErr w:type="spellEnd"/>
            <w:r w:rsidRPr="002C7F50">
              <w:rPr>
                <w:rFonts w:ascii="Garamond" w:hAnsi="Garamond"/>
                <w:color w:val="auto"/>
              </w:rPr>
              <w:t xml:space="preserve"> (2005); (</w:t>
            </w:r>
            <w:proofErr w:type="spellStart"/>
            <w:r w:rsidRPr="002C7F50">
              <w:rPr>
                <w:rFonts w:ascii="Garamond" w:hAnsi="Garamond"/>
                <w:color w:val="auto"/>
              </w:rPr>
              <w:t>ii</w:t>
            </w:r>
            <w:proofErr w:type="spellEnd"/>
            <w:r w:rsidRPr="002C7F50">
              <w:rPr>
                <w:rFonts w:ascii="Garamond" w:hAnsi="Garamond"/>
                <w:color w:val="auto"/>
              </w:rPr>
              <w:t>) Os valores para os testes de Hansen são os p-valores para a hipótese nula de que os instrumentos são válidos; (</w:t>
            </w:r>
            <w:proofErr w:type="spellStart"/>
            <w:r w:rsidRPr="002C7F50">
              <w:rPr>
                <w:rFonts w:ascii="Garamond" w:hAnsi="Garamond"/>
                <w:color w:val="auto"/>
              </w:rPr>
              <w:t>iii</w:t>
            </w:r>
            <w:proofErr w:type="spellEnd"/>
            <w:r w:rsidRPr="002C7F50">
              <w:rPr>
                <w:rFonts w:ascii="Garamond" w:hAnsi="Garamond"/>
                <w:color w:val="auto"/>
              </w:rPr>
              <w:t xml:space="preserve">) Utilizaram-se como instrumentos no </w:t>
            </w:r>
            <w:r w:rsidRPr="002C7F50">
              <w:rPr>
                <w:rFonts w:ascii="Garamond" w:hAnsi="Garamond"/>
                <w:i/>
                <w:iCs/>
                <w:color w:val="auto"/>
              </w:rPr>
              <w:t xml:space="preserve">System-GMM </w:t>
            </w:r>
            <w:r w:rsidRPr="002C7F50">
              <w:rPr>
                <w:rFonts w:ascii="Garamond" w:hAnsi="Garamond"/>
                <w:color w:val="auto"/>
              </w:rPr>
              <w:t>as variáveis explicativas em diferenças defasadas e variáveis explicativas em nível defasadas; (</w:t>
            </w:r>
            <w:proofErr w:type="spellStart"/>
            <w:r w:rsidRPr="002C7F50">
              <w:rPr>
                <w:rFonts w:ascii="Garamond" w:hAnsi="Garamond"/>
                <w:color w:val="auto"/>
              </w:rPr>
              <w:t>iv</w:t>
            </w:r>
            <w:proofErr w:type="spellEnd"/>
            <w:r w:rsidRPr="002C7F50">
              <w:rPr>
                <w:rFonts w:ascii="Garamond" w:hAnsi="Garamond"/>
                <w:color w:val="auto"/>
              </w:rPr>
              <w:t xml:space="preserve">) Hipótese Nula do teste </w:t>
            </w:r>
            <w:proofErr w:type="spellStart"/>
            <w:r w:rsidRPr="002C7F50">
              <w:rPr>
                <w:rFonts w:ascii="Garamond" w:hAnsi="Garamond"/>
                <w:i/>
                <w:iCs/>
                <w:color w:val="auto"/>
              </w:rPr>
              <w:t>Difference</w:t>
            </w:r>
            <w:proofErr w:type="spellEnd"/>
            <w:r w:rsidRPr="002C7F50">
              <w:rPr>
                <w:rFonts w:ascii="Garamond" w:hAnsi="Garamond"/>
                <w:color w:val="auto"/>
              </w:rPr>
              <w:t xml:space="preserve">-Hansen: </w:t>
            </w:r>
            <w:proofErr w:type="spellStart"/>
            <w:r w:rsidRPr="002C7F50">
              <w:rPr>
                <w:rFonts w:ascii="Garamond" w:hAnsi="Garamond"/>
                <w:color w:val="auto"/>
              </w:rPr>
              <w:t>Exogeneidade</w:t>
            </w:r>
            <w:proofErr w:type="spellEnd"/>
            <w:r w:rsidRPr="002C7F50">
              <w:rPr>
                <w:rFonts w:ascii="Garamond" w:hAnsi="Garamond"/>
                <w:color w:val="auto"/>
              </w:rPr>
              <w:t xml:space="preserve"> dos instrumentos utilizados; (v) Foram consideradas endógenas na estimação do </w:t>
            </w:r>
            <w:r w:rsidRPr="002C7F50">
              <w:rPr>
                <w:rFonts w:ascii="Garamond" w:hAnsi="Garamond"/>
                <w:i/>
                <w:iCs/>
                <w:color w:val="auto"/>
              </w:rPr>
              <w:t xml:space="preserve">System-GMM </w:t>
            </w:r>
            <w:r w:rsidRPr="002C7F50">
              <w:rPr>
                <w:rFonts w:ascii="Garamond" w:hAnsi="Garamond"/>
                <w:color w:val="auto"/>
              </w:rPr>
              <w:t xml:space="preserve">as variáveis de </w:t>
            </w:r>
            <w:proofErr w:type="spellStart"/>
            <w:proofErr w:type="gramStart"/>
            <w:r w:rsidRPr="002C7F50">
              <w:rPr>
                <w:rFonts w:ascii="Garamond" w:hAnsi="Garamond"/>
                <w:i/>
                <w:color w:val="auto"/>
              </w:rPr>
              <w:t>PIBpc</w:t>
            </w:r>
            <w:proofErr w:type="spellEnd"/>
            <w:proofErr w:type="gramEnd"/>
            <w:r w:rsidRPr="002C7F50">
              <w:rPr>
                <w:rFonts w:ascii="Garamond" w:hAnsi="Garamond"/>
                <w:color w:val="auto"/>
              </w:rPr>
              <w:t>, capital humano e abertura comercial. Notas: * significante ao nível de 1%.** significante ao nível de 5%.*** significante ao nível de 10%.</w:t>
            </w:r>
          </w:p>
          <w:p w:rsidR="00BA7C9C" w:rsidRPr="002C7F50" w:rsidRDefault="00BA7C9C" w:rsidP="0011017D">
            <w:pPr>
              <w:ind w:firstLine="708"/>
              <w:jc w:val="both"/>
              <w:rPr>
                <w:rFonts w:ascii="Garamond" w:hAnsi="Garamond"/>
                <w:sz w:val="24"/>
                <w:szCs w:val="24"/>
              </w:rPr>
            </w:pPr>
          </w:p>
        </w:tc>
      </w:tr>
    </w:tbl>
    <w:p w:rsidR="00D70271" w:rsidRPr="002C7F50" w:rsidRDefault="00D92D64" w:rsidP="00D92D64">
      <w:pPr>
        <w:tabs>
          <w:tab w:val="left" w:pos="0"/>
        </w:tabs>
        <w:spacing w:after="0" w:line="240" w:lineRule="auto"/>
        <w:ind w:firstLine="851"/>
        <w:jc w:val="both"/>
        <w:rPr>
          <w:rFonts w:ascii="Garamond" w:hAnsi="Garamond"/>
          <w:i/>
          <w:sz w:val="24"/>
          <w:szCs w:val="24"/>
        </w:rPr>
      </w:pPr>
      <w:r w:rsidRPr="002C7F50">
        <w:rPr>
          <w:rFonts w:ascii="Garamond" w:hAnsi="Garamond"/>
          <w:i/>
          <w:sz w:val="24"/>
          <w:szCs w:val="24"/>
        </w:rPr>
        <w:t xml:space="preserve"> </w:t>
      </w:r>
    </w:p>
    <w:p w:rsidR="00C807F6" w:rsidRPr="002C7F50" w:rsidRDefault="001925EF" w:rsidP="00310943">
      <w:pPr>
        <w:spacing w:after="0"/>
        <w:jc w:val="both"/>
        <w:rPr>
          <w:rFonts w:ascii="Garamond" w:eastAsia="Times New Roman" w:hAnsi="Garamond"/>
          <w:sz w:val="24"/>
          <w:szCs w:val="24"/>
          <w:lang w:eastAsia="pt-BR"/>
        </w:rPr>
      </w:pPr>
      <w:r w:rsidRPr="002C7F50">
        <w:rPr>
          <w:rFonts w:ascii="Garamond" w:eastAsia="Times New Roman" w:hAnsi="Garamond"/>
          <w:sz w:val="24"/>
          <w:szCs w:val="24"/>
          <w:lang w:eastAsia="pt-BR"/>
        </w:rPr>
        <w:t xml:space="preserve">5 – </w:t>
      </w:r>
      <w:r w:rsidR="00310943" w:rsidRPr="002C7F50">
        <w:rPr>
          <w:rFonts w:ascii="Garamond" w:eastAsia="Times New Roman" w:hAnsi="Garamond"/>
          <w:sz w:val="24"/>
          <w:szCs w:val="24"/>
          <w:lang w:eastAsia="pt-BR"/>
        </w:rPr>
        <w:t xml:space="preserve">Ainda, os autores não contemplam na revisão de literatura, e, portanto, nada tratam na abordagem econométrica, da questão da qualidade do capital humano sobre o crescimento e desenvolvimento econômico (ver HANUSHEK e KIMKO, 2000 e HANUSHEK e WOESSMANN, 2008; 2011a; 2011b; 2012). Por fim, não acho que o estoque de pessoas com ensino fundamental e ensino médio sejam as variáveis mais adequadas de </w:t>
      </w:r>
      <w:proofErr w:type="gramStart"/>
      <w:r w:rsidR="00310943" w:rsidRPr="002C7F50">
        <w:rPr>
          <w:rFonts w:ascii="Garamond" w:eastAsia="Times New Roman" w:hAnsi="Garamond"/>
          <w:i/>
          <w:sz w:val="24"/>
          <w:szCs w:val="24"/>
          <w:lang w:eastAsia="pt-BR"/>
        </w:rPr>
        <w:t>proxy</w:t>
      </w:r>
      <w:proofErr w:type="gramEnd"/>
      <w:r w:rsidR="00310943" w:rsidRPr="002C7F50">
        <w:rPr>
          <w:rFonts w:ascii="Garamond" w:eastAsia="Times New Roman" w:hAnsi="Garamond"/>
          <w:sz w:val="24"/>
          <w:szCs w:val="24"/>
          <w:lang w:eastAsia="pt-BR"/>
        </w:rPr>
        <w:t xml:space="preserve"> para capital humano. Nesta linha, eu sugiro a utilização da proporção de pessoas com ensino fundamental e ensino médio, bem como, a proporção de pessoas com superior completo para capturar os efeitos de níveis mais avançados de capital humano.</w:t>
      </w:r>
    </w:p>
    <w:p w:rsidR="00C807F6" w:rsidRPr="002C7F50" w:rsidRDefault="00C807F6" w:rsidP="00310943">
      <w:pPr>
        <w:spacing w:after="0"/>
        <w:jc w:val="both"/>
        <w:rPr>
          <w:rFonts w:ascii="Garamond" w:eastAsia="Times New Roman" w:hAnsi="Garamond"/>
          <w:sz w:val="24"/>
          <w:szCs w:val="24"/>
          <w:lang w:eastAsia="pt-BR"/>
        </w:rPr>
      </w:pPr>
    </w:p>
    <w:p w:rsidR="00F232C8" w:rsidRPr="002C7F50" w:rsidRDefault="00C807F6" w:rsidP="00310943">
      <w:pPr>
        <w:spacing w:after="0"/>
        <w:jc w:val="both"/>
        <w:rPr>
          <w:rFonts w:ascii="Garamond" w:hAnsi="Garamond"/>
          <w:i/>
          <w:sz w:val="24"/>
          <w:szCs w:val="24"/>
        </w:rPr>
      </w:pPr>
      <w:r w:rsidRPr="002C7F50">
        <w:rPr>
          <w:rFonts w:ascii="Garamond" w:hAnsi="Garamond"/>
          <w:i/>
          <w:sz w:val="24"/>
          <w:szCs w:val="24"/>
        </w:rPr>
        <w:t>Resposta:</w:t>
      </w:r>
      <w:r w:rsidR="001925EF" w:rsidRPr="002C7F50">
        <w:rPr>
          <w:rFonts w:ascii="Garamond" w:hAnsi="Garamond"/>
          <w:i/>
          <w:sz w:val="24"/>
          <w:szCs w:val="24"/>
        </w:rPr>
        <w:t xml:space="preserve"> Sugestão incorporada. A discussão sobre a qualidade do capital humano sugerida pelo </w:t>
      </w:r>
      <w:proofErr w:type="spellStart"/>
      <w:r w:rsidR="001925EF" w:rsidRPr="002C7F50">
        <w:rPr>
          <w:rFonts w:ascii="Garamond" w:hAnsi="Garamond"/>
          <w:i/>
          <w:sz w:val="24"/>
          <w:szCs w:val="24"/>
        </w:rPr>
        <w:t>parecerista</w:t>
      </w:r>
      <w:proofErr w:type="spellEnd"/>
      <w:r w:rsidR="001925EF" w:rsidRPr="002C7F50">
        <w:rPr>
          <w:rFonts w:ascii="Garamond" w:hAnsi="Garamond"/>
          <w:i/>
          <w:sz w:val="24"/>
          <w:szCs w:val="24"/>
        </w:rPr>
        <w:t xml:space="preserve"> foi inserida no texto. E, de fato, </w:t>
      </w:r>
      <w:r w:rsidR="00F232C8" w:rsidRPr="002C7F50">
        <w:rPr>
          <w:rFonts w:ascii="Garamond" w:hAnsi="Garamond"/>
          <w:i/>
          <w:sz w:val="24"/>
          <w:szCs w:val="24"/>
        </w:rPr>
        <w:t xml:space="preserve">como sugere o </w:t>
      </w:r>
      <w:proofErr w:type="spellStart"/>
      <w:r w:rsidR="00F232C8" w:rsidRPr="002C7F50">
        <w:rPr>
          <w:rFonts w:ascii="Garamond" w:hAnsi="Garamond"/>
          <w:i/>
          <w:sz w:val="24"/>
          <w:szCs w:val="24"/>
        </w:rPr>
        <w:t>parecerista</w:t>
      </w:r>
      <w:proofErr w:type="spellEnd"/>
      <w:r w:rsidR="00F232C8" w:rsidRPr="002C7F50">
        <w:rPr>
          <w:rFonts w:ascii="Garamond" w:hAnsi="Garamond"/>
          <w:i/>
          <w:sz w:val="24"/>
          <w:szCs w:val="24"/>
        </w:rPr>
        <w:t xml:space="preserve">, </w:t>
      </w:r>
      <w:r w:rsidR="001925EF" w:rsidRPr="002C7F50">
        <w:rPr>
          <w:rFonts w:ascii="Garamond" w:hAnsi="Garamond"/>
          <w:i/>
          <w:sz w:val="24"/>
          <w:szCs w:val="24"/>
        </w:rPr>
        <w:t xml:space="preserve">inicialmente o </w:t>
      </w:r>
      <w:r w:rsidR="00F232C8" w:rsidRPr="002C7F50">
        <w:rPr>
          <w:rFonts w:ascii="Garamond" w:hAnsi="Garamond"/>
          <w:i/>
          <w:sz w:val="24"/>
          <w:szCs w:val="24"/>
        </w:rPr>
        <w:t>propósito do trabalho</w:t>
      </w:r>
      <w:r w:rsidR="001925EF" w:rsidRPr="002C7F50">
        <w:rPr>
          <w:rFonts w:ascii="Garamond" w:hAnsi="Garamond"/>
          <w:i/>
          <w:sz w:val="24"/>
          <w:szCs w:val="24"/>
        </w:rPr>
        <w:t xml:space="preserve"> era construir um indicador que sinalizasse melhor para a qualidade do capital humano como a proporção de pessoas com ensino superior.</w:t>
      </w:r>
      <w:r w:rsidR="00F232C8" w:rsidRPr="002C7F50">
        <w:rPr>
          <w:rFonts w:ascii="Garamond" w:hAnsi="Garamond"/>
          <w:i/>
          <w:sz w:val="24"/>
          <w:szCs w:val="24"/>
        </w:rPr>
        <w:t xml:space="preserve"> Todavia, os dados do Instituto Nacional de Estudos e Pesquisas Educacionais Anísio Teixeira (INEP) só disponibilizam informação para os níveis fundamental e médio. Apesar disso, como o nível educacional do Estado é baixo, acreditamos que as proxies empregadas conseguem captar bem os efeitos investigados. De qualquer forma foi inserida a seguinte sentença na seção d</w:t>
      </w:r>
      <w:r w:rsidR="001F0C55" w:rsidRPr="002C7F50">
        <w:rPr>
          <w:rFonts w:ascii="Garamond" w:hAnsi="Garamond"/>
          <w:i/>
          <w:sz w:val="24"/>
          <w:szCs w:val="24"/>
        </w:rPr>
        <w:t>e descrição e análise dos dados:</w:t>
      </w:r>
    </w:p>
    <w:p w:rsidR="001F0C55" w:rsidRPr="002C7F50" w:rsidRDefault="001F0C55" w:rsidP="00310943">
      <w:pPr>
        <w:spacing w:after="0"/>
        <w:jc w:val="both"/>
        <w:rPr>
          <w:rFonts w:ascii="Garamond" w:hAnsi="Garamond"/>
          <w:i/>
          <w:sz w:val="24"/>
          <w:szCs w:val="24"/>
        </w:rPr>
      </w:pPr>
    </w:p>
    <w:p w:rsidR="001F0C55" w:rsidRPr="002C7F50" w:rsidRDefault="001F0C55" w:rsidP="001F0C55">
      <w:pPr>
        <w:spacing w:line="240" w:lineRule="auto"/>
        <w:jc w:val="both"/>
        <w:rPr>
          <w:rFonts w:ascii="Garamond" w:hAnsi="Garamond"/>
          <w:sz w:val="24"/>
          <w:szCs w:val="24"/>
        </w:rPr>
      </w:pPr>
      <w:r w:rsidRPr="002C7F50">
        <w:rPr>
          <w:rFonts w:ascii="Garamond" w:hAnsi="Garamond"/>
          <w:sz w:val="24"/>
          <w:szCs w:val="24"/>
        </w:rPr>
        <w:t xml:space="preserve">As variáveis de capital humano foram construídas nos moldes de </w:t>
      </w:r>
      <w:proofErr w:type="spellStart"/>
      <w:r w:rsidRPr="002C7F50">
        <w:rPr>
          <w:rFonts w:ascii="Garamond" w:hAnsi="Garamond"/>
          <w:sz w:val="24"/>
          <w:szCs w:val="24"/>
        </w:rPr>
        <w:t>Irffi</w:t>
      </w:r>
      <w:proofErr w:type="spellEnd"/>
      <w:r w:rsidRPr="002C7F50">
        <w:rPr>
          <w:rFonts w:ascii="Garamond" w:hAnsi="Garamond"/>
          <w:sz w:val="24"/>
          <w:szCs w:val="24"/>
        </w:rPr>
        <w:t xml:space="preserve"> </w:t>
      </w:r>
      <w:proofErr w:type="gramStart"/>
      <w:r w:rsidRPr="002C7F50">
        <w:rPr>
          <w:rFonts w:ascii="Garamond" w:hAnsi="Garamond"/>
          <w:i/>
          <w:sz w:val="24"/>
          <w:szCs w:val="24"/>
        </w:rPr>
        <w:t>et</w:t>
      </w:r>
      <w:proofErr w:type="gramEnd"/>
      <w:r w:rsidRPr="002C7F50">
        <w:rPr>
          <w:rFonts w:ascii="Garamond" w:hAnsi="Garamond"/>
          <w:i/>
          <w:sz w:val="24"/>
          <w:szCs w:val="24"/>
        </w:rPr>
        <w:t xml:space="preserve"> </w:t>
      </w:r>
      <w:proofErr w:type="spellStart"/>
      <w:r w:rsidRPr="002C7F50">
        <w:rPr>
          <w:rFonts w:ascii="Garamond" w:hAnsi="Garamond"/>
          <w:i/>
          <w:sz w:val="24"/>
          <w:szCs w:val="24"/>
        </w:rPr>
        <w:t>all</w:t>
      </w:r>
      <w:proofErr w:type="spellEnd"/>
      <w:r w:rsidRPr="002C7F50">
        <w:rPr>
          <w:rFonts w:ascii="Garamond" w:hAnsi="Garamond"/>
          <w:sz w:val="24"/>
          <w:szCs w:val="24"/>
        </w:rPr>
        <w:t xml:space="preserve"> (2008) a partir de dados referentes à contagem feita pelo IBGE em 1996, contendo o número (estoque) de pessoas com 8 anos de estudo (ensino fundamental) e 12 anos ou mais de estudo (ensino médio) em 1996 disponíveis na base de dados DATASUS e dados coletados junto ao Instituto Nacional de Estudos e Pesquisas Educacionais Anísio Teixeira (INEP) com informações sobre o número de concludentes do ensino fundamental e ensino médio a cada ano (fluxo). Sendo assim, para a variável capital humano de ensino fundamental somou-se ao estoque de pessoas com </w:t>
      </w:r>
      <w:proofErr w:type="gramStart"/>
      <w:r w:rsidRPr="002C7F50">
        <w:rPr>
          <w:rFonts w:ascii="Garamond" w:hAnsi="Garamond"/>
          <w:sz w:val="24"/>
          <w:szCs w:val="24"/>
        </w:rPr>
        <w:t>8</w:t>
      </w:r>
      <w:proofErr w:type="gramEnd"/>
      <w:r w:rsidRPr="002C7F50">
        <w:rPr>
          <w:rFonts w:ascii="Garamond" w:hAnsi="Garamond"/>
          <w:sz w:val="24"/>
          <w:szCs w:val="24"/>
        </w:rPr>
        <w:t xml:space="preserve"> anos ou mais de estudo em 1996 o número de concluintes de ensino fundamental ano a ano obtendo-se um estoque de capital humano de ensino fundamental anual. Para a variável capital humano de ensino médio o processo foi semelhante. </w:t>
      </w:r>
      <w:r w:rsidRPr="002C7F50">
        <w:rPr>
          <w:rFonts w:ascii="Garamond" w:hAnsi="Garamond"/>
          <w:sz w:val="24"/>
          <w:szCs w:val="24"/>
          <w:highlight w:val="yellow"/>
        </w:rPr>
        <w:t xml:space="preserve">Vale destacar que, para capturar com maior precisão os efeitos da qualidade do capital humano sobre o nível de renda desses municípios seria interessante </w:t>
      </w:r>
      <w:proofErr w:type="gramStart"/>
      <w:r w:rsidRPr="002C7F50">
        <w:rPr>
          <w:rFonts w:ascii="Garamond" w:hAnsi="Garamond"/>
          <w:sz w:val="24"/>
          <w:szCs w:val="24"/>
          <w:highlight w:val="yellow"/>
        </w:rPr>
        <w:t>a</w:t>
      </w:r>
      <w:proofErr w:type="gramEnd"/>
      <w:r w:rsidRPr="002C7F50">
        <w:rPr>
          <w:rFonts w:ascii="Garamond" w:hAnsi="Garamond"/>
          <w:sz w:val="24"/>
          <w:szCs w:val="24"/>
          <w:highlight w:val="yellow"/>
        </w:rPr>
        <w:t xml:space="preserve"> inclusão de um indicador que representasse a proporção de indivíduos com ensino superior, todavia, o INEP só disponibiliza informações para os níveis fundamental e médio. Apesar disso, como o nível educacional do Estado do Ceará é baixo, acredita-se que as </w:t>
      </w:r>
      <w:r w:rsidRPr="002C7F50">
        <w:rPr>
          <w:rFonts w:ascii="Garamond" w:hAnsi="Garamond"/>
          <w:i/>
          <w:sz w:val="24"/>
          <w:szCs w:val="24"/>
          <w:highlight w:val="yellow"/>
        </w:rPr>
        <w:t>proxies</w:t>
      </w:r>
      <w:r w:rsidRPr="002C7F50">
        <w:rPr>
          <w:rFonts w:ascii="Garamond" w:hAnsi="Garamond"/>
          <w:sz w:val="24"/>
          <w:szCs w:val="24"/>
          <w:highlight w:val="yellow"/>
        </w:rPr>
        <w:t xml:space="preserve"> empregadas conseguem captar bem os efeitos aqui investigados.</w:t>
      </w:r>
    </w:p>
    <w:p w:rsidR="001F0C55" w:rsidRPr="002C7F50" w:rsidRDefault="001F0C55" w:rsidP="00310943">
      <w:pPr>
        <w:spacing w:after="0"/>
        <w:jc w:val="both"/>
        <w:rPr>
          <w:rFonts w:ascii="Garamond" w:hAnsi="Garamond"/>
          <w:i/>
          <w:sz w:val="24"/>
          <w:szCs w:val="24"/>
        </w:rPr>
      </w:pPr>
    </w:p>
    <w:p w:rsidR="00F232C8" w:rsidRPr="002C7F50" w:rsidRDefault="00F232C8" w:rsidP="00310943">
      <w:pPr>
        <w:spacing w:after="0"/>
        <w:jc w:val="both"/>
        <w:rPr>
          <w:rFonts w:ascii="Garamond" w:hAnsi="Garamond"/>
          <w:i/>
          <w:sz w:val="24"/>
          <w:szCs w:val="24"/>
        </w:rPr>
      </w:pPr>
    </w:p>
    <w:p w:rsidR="00844293" w:rsidRPr="002C7F50" w:rsidRDefault="00F232C8" w:rsidP="00310943">
      <w:pPr>
        <w:spacing w:after="0"/>
        <w:jc w:val="both"/>
        <w:rPr>
          <w:rFonts w:ascii="Garamond" w:hAnsi="Garamond"/>
          <w:i/>
          <w:sz w:val="24"/>
          <w:szCs w:val="24"/>
        </w:rPr>
      </w:pPr>
      <w:r w:rsidRPr="002C7F50">
        <w:rPr>
          <w:rFonts w:ascii="Garamond" w:hAnsi="Garamond"/>
          <w:i/>
          <w:sz w:val="24"/>
          <w:szCs w:val="24"/>
        </w:rPr>
        <w:lastRenderedPageBreak/>
        <w:t xml:space="preserve"> </w:t>
      </w:r>
    </w:p>
    <w:p w:rsidR="00844293" w:rsidRPr="002C7F50" w:rsidRDefault="00844293" w:rsidP="00310943">
      <w:pPr>
        <w:spacing w:after="0"/>
        <w:jc w:val="both"/>
        <w:rPr>
          <w:rFonts w:ascii="Garamond" w:hAnsi="Garamond"/>
          <w:i/>
          <w:sz w:val="24"/>
          <w:szCs w:val="24"/>
        </w:rPr>
      </w:pPr>
    </w:p>
    <w:sectPr w:rsidR="00844293" w:rsidRPr="002C7F50" w:rsidSect="00AD3BB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D0" w:rsidRDefault="00CC39D0" w:rsidP="00C02486">
      <w:pPr>
        <w:spacing w:after="0" w:line="240" w:lineRule="auto"/>
      </w:pPr>
      <w:r>
        <w:separator/>
      </w:r>
    </w:p>
  </w:endnote>
  <w:endnote w:type="continuationSeparator" w:id="0">
    <w:p w:rsidR="00CC39D0" w:rsidRDefault="00CC39D0" w:rsidP="00C02486">
      <w:pPr>
        <w:spacing w:after="0" w:line="240" w:lineRule="auto"/>
      </w:pPr>
      <w:r>
        <w:continuationSeparator/>
      </w:r>
    </w:p>
  </w:endnote>
  <w:endnote w:id="1">
    <w:p w:rsidR="00BA7C9C" w:rsidRDefault="00BA7C9C" w:rsidP="00BA7C9C">
      <w:pPr>
        <w:pStyle w:val="Textodenotadefim"/>
        <w:jc w:val="both"/>
      </w:pPr>
      <w:r>
        <w:rPr>
          <w:rStyle w:val="Refdenotadefim"/>
        </w:rPr>
        <w:endnoteRef/>
      </w:r>
      <w:r>
        <w:t xml:space="preserve"> </w:t>
      </w:r>
      <w:r w:rsidRPr="003A7513">
        <w:t>Estes trabalhos ressaltam ainda o papel de instituições, como direitos de propriedade bem definidos, abertura econômica e segurança nacional, no crescimento econômico.</w:t>
      </w:r>
    </w:p>
  </w:endnote>
  <w:endnote w:id="2">
    <w:p w:rsidR="00BA7C9C" w:rsidRDefault="00BA7C9C" w:rsidP="00BA7C9C">
      <w:pPr>
        <w:pStyle w:val="Textodenotadefim"/>
        <w:jc w:val="both"/>
      </w:pPr>
      <w:r>
        <w:rPr>
          <w:rStyle w:val="Refdenotadefim"/>
        </w:rPr>
        <w:endnoteRef/>
      </w:r>
      <w:r>
        <w:t xml:space="preserve"> </w:t>
      </w:r>
      <w:r w:rsidRPr="003241BC">
        <w:t>Os autores afirmam que as habilidades cognitivas estão fortemente relacionadas a qualidade e quantidade escolar, mas a escolaridade que não se traduz em melhorias nas habilidades cognitivas tem impacto limitado sobre os resultados econômicos agregados e desenvolvimento econômico.</w:t>
      </w:r>
    </w:p>
  </w:endnote>
  <w:endnote w:id="3">
    <w:p w:rsidR="00BA7C9C" w:rsidRDefault="00BA7C9C" w:rsidP="00BA7C9C">
      <w:pPr>
        <w:pStyle w:val="Textodenotadefim"/>
        <w:jc w:val="both"/>
      </w:pPr>
      <w:r>
        <w:rPr>
          <w:rStyle w:val="Refdenotadefim"/>
        </w:rPr>
        <w:endnoteRef/>
      </w:r>
      <w:r>
        <w:t xml:space="preserve"> Essas medidas serão </w:t>
      </w:r>
      <w:r w:rsidRPr="007F3269">
        <w:t>detalhadas na seção 3</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D0" w:rsidRDefault="00CC39D0" w:rsidP="00C02486">
      <w:pPr>
        <w:spacing w:after="0" w:line="240" w:lineRule="auto"/>
      </w:pPr>
      <w:r>
        <w:separator/>
      </w:r>
    </w:p>
  </w:footnote>
  <w:footnote w:type="continuationSeparator" w:id="0">
    <w:p w:rsidR="00CC39D0" w:rsidRDefault="00CC39D0" w:rsidP="00C02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FB"/>
    <w:rsid w:val="00002448"/>
    <w:rsid w:val="00004552"/>
    <w:rsid w:val="000051C9"/>
    <w:rsid w:val="000103AF"/>
    <w:rsid w:val="000107F1"/>
    <w:rsid w:val="00010CB0"/>
    <w:rsid w:val="00017FA9"/>
    <w:rsid w:val="00020B95"/>
    <w:rsid w:val="00021DF5"/>
    <w:rsid w:val="000229F1"/>
    <w:rsid w:val="0002622A"/>
    <w:rsid w:val="00026D93"/>
    <w:rsid w:val="00032E92"/>
    <w:rsid w:val="00034905"/>
    <w:rsid w:val="00036ABE"/>
    <w:rsid w:val="00037D8C"/>
    <w:rsid w:val="0004008F"/>
    <w:rsid w:val="00040728"/>
    <w:rsid w:val="00042B23"/>
    <w:rsid w:val="00044066"/>
    <w:rsid w:val="00046A2A"/>
    <w:rsid w:val="00046AC9"/>
    <w:rsid w:val="00052BFA"/>
    <w:rsid w:val="000531F9"/>
    <w:rsid w:val="0005724F"/>
    <w:rsid w:val="00057FE2"/>
    <w:rsid w:val="0006230C"/>
    <w:rsid w:val="00062B29"/>
    <w:rsid w:val="00070C21"/>
    <w:rsid w:val="00071459"/>
    <w:rsid w:val="00074CEA"/>
    <w:rsid w:val="00082936"/>
    <w:rsid w:val="000847E5"/>
    <w:rsid w:val="00085A8E"/>
    <w:rsid w:val="00090295"/>
    <w:rsid w:val="00092113"/>
    <w:rsid w:val="0009222C"/>
    <w:rsid w:val="00095101"/>
    <w:rsid w:val="0009668C"/>
    <w:rsid w:val="000A1339"/>
    <w:rsid w:val="000A284B"/>
    <w:rsid w:val="000A5B98"/>
    <w:rsid w:val="000A6113"/>
    <w:rsid w:val="000B163F"/>
    <w:rsid w:val="000B1984"/>
    <w:rsid w:val="000B36A7"/>
    <w:rsid w:val="000B4E69"/>
    <w:rsid w:val="000B6305"/>
    <w:rsid w:val="000B71BB"/>
    <w:rsid w:val="000C2CA9"/>
    <w:rsid w:val="000C55E8"/>
    <w:rsid w:val="000C6ADA"/>
    <w:rsid w:val="000D042B"/>
    <w:rsid w:val="000D051C"/>
    <w:rsid w:val="000D1A32"/>
    <w:rsid w:val="000D20C3"/>
    <w:rsid w:val="000D3DE0"/>
    <w:rsid w:val="000D4514"/>
    <w:rsid w:val="000E1DC1"/>
    <w:rsid w:val="000E5A2F"/>
    <w:rsid w:val="000E5CFE"/>
    <w:rsid w:val="000F02F6"/>
    <w:rsid w:val="000F2EAB"/>
    <w:rsid w:val="000F32E4"/>
    <w:rsid w:val="000F495C"/>
    <w:rsid w:val="000F53F0"/>
    <w:rsid w:val="000F5773"/>
    <w:rsid w:val="000F6CC7"/>
    <w:rsid w:val="001047F7"/>
    <w:rsid w:val="001074B1"/>
    <w:rsid w:val="00110EE5"/>
    <w:rsid w:val="001163D2"/>
    <w:rsid w:val="00116663"/>
    <w:rsid w:val="0013011B"/>
    <w:rsid w:val="001437C5"/>
    <w:rsid w:val="00143872"/>
    <w:rsid w:val="00144EE5"/>
    <w:rsid w:val="00145C3E"/>
    <w:rsid w:val="00150159"/>
    <w:rsid w:val="00150B9F"/>
    <w:rsid w:val="00152E32"/>
    <w:rsid w:val="00161CA7"/>
    <w:rsid w:val="00163114"/>
    <w:rsid w:val="001634E0"/>
    <w:rsid w:val="001654C9"/>
    <w:rsid w:val="0016646F"/>
    <w:rsid w:val="00175080"/>
    <w:rsid w:val="001773D4"/>
    <w:rsid w:val="001804F0"/>
    <w:rsid w:val="001817DF"/>
    <w:rsid w:val="001858CD"/>
    <w:rsid w:val="001905D5"/>
    <w:rsid w:val="00191E5C"/>
    <w:rsid w:val="001925EF"/>
    <w:rsid w:val="00192E9E"/>
    <w:rsid w:val="00197424"/>
    <w:rsid w:val="001A0671"/>
    <w:rsid w:val="001A12E9"/>
    <w:rsid w:val="001A77EF"/>
    <w:rsid w:val="001B203C"/>
    <w:rsid w:val="001C40E0"/>
    <w:rsid w:val="001C4505"/>
    <w:rsid w:val="001C71EB"/>
    <w:rsid w:val="001D15A7"/>
    <w:rsid w:val="001D2126"/>
    <w:rsid w:val="001D6F24"/>
    <w:rsid w:val="001D7E43"/>
    <w:rsid w:val="001E125C"/>
    <w:rsid w:val="001F0C55"/>
    <w:rsid w:val="001F0EA5"/>
    <w:rsid w:val="001F7FFC"/>
    <w:rsid w:val="00200138"/>
    <w:rsid w:val="00201949"/>
    <w:rsid w:val="00201B92"/>
    <w:rsid w:val="0020210C"/>
    <w:rsid w:val="002033F9"/>
    <w:rsid w:val="00205532"/>
    <w:rsid w:val="00206A2C"/>
    <w:rsid w:val="0021653E"/>
    <w:rsid w:val="00220E57"/>
    <w:rsid w:val="00223DF8"/>
    <w:rsid w:val="0023101A"/>
    <w:rsid w:val="00231112"/>
    <w:rsid w:val="00233A5C"/>
    <w:rsid w:val="0023464C"/>
    <w:rsid w:val="002363E7"/>
    <w:rsid w:val="00236B45"/>
    <w:rsid w:val="00237E5C"/>
    <w:rsid w:val="00245275"/>
    <w:rsid w:val="00246C10"/>
    <w:rsid w:val="00246F62"/>
    <w:rsid w:val="00247204"/>
    <w:rsid w:val="002536F6"/>
    <w:rsid w:val="002546FD"/>
    <w:rsid w:val="002559E9"/>
    <w:rsid w:val="00255C11"/>
    <w:rsid w:val="002562C9"/>
    <w:rsid w:val="002618CB"/>
    <w:rsid w:val="00262C23"/>
    <w:rsid w:val="002651A1"/>
    <w:rsid w:val="00265DBD"/>
    <w:rsid w:val="00266797"/>
    <w:rsid w:val="00272250"/>
    <w:rsid w:val="0027242C"/>
    <w:rsid w:val="0027366A"/>
    <w:rsid w:val="00273A28"/>
    <w:rsid w:val="00280B29"/>
    <w:rsid w:val="00281B92"/>
    <w:rsid w:val="00282789"/>
    <w:rsid w:val="002832FC"/>
    <w:rsid w:val="00283616"/>
    <w:rsid w:val="0028375D"/>
    <w:rsid w:val="00287C3E"/>
    <w:rsid w:val="00291AE9"/>
    <w:rsid w:val="00291CC2"/>
    <w:rsid w:val="00295544"/>
    <w:rsid w:val="002A7EE6"/>
    <w:rsid w:val="002B0845"/>
    <w:rsid w:val="002B2D85"/>
    <w:rsid w:val="002B3F03"/>
    <w:rsid w:val="002C33A1"/>
    <w:rsid w:val="002C56C7"/>
    <w:rsid w:val="002C7F50"/>
    <w:rsid w:val="002E0912"/>
    <w:rsid w:val="002E528F"/>
    <w:rsid w:val="002E69F1"/>
    <w:rsid w:val="002E7FD2"/>
    <w:rsid w:val="002F320B"/>
    <w:rsid w:val="002F4343"/>
    <w:rsid w:val="002F4E76"/>
    <w:rsid w:val="002F7E1D"/>
    <w:rsid w:val="00302C27"/>
    <w:rsid w:val="00302F73"/>
    <w:rsid w:val="00303D8F"/>
    <w:rsid w:val="00310943"/>
    <w:rsid w:val="00312B11"/>
    <w:rsid w:val="00314825"/>
    <w:rsid w:val="003149B5"/>
    <w:rsid w:val="00316889"/>
    <w:rsid w:val="0032169A"/>
    <w:rsid w:val="00323A47"/>
    <w:rsid w:val="003379CC"/>
    <w:rsid w:val="00340B5E"/>
    <w:rsid w:val="00342EA0"/>
    <w:rsid w:val="00346880"/>
    <w:rsid w:val="00346DB9"/>
    <w:rsid w:val="00351407"/>
    <w:rsid w:val="0035210A"/>
    <w:rsid w:val="00352DEB"/>
    <w:rsid w:val="00353750"/>
    <w:rsid w:val="00360839"/>
    <w:rsid w:val="003663CF"/>
    <w:rsid w:val="00370E50"/>
    <w:rsid w:val="003750E0"/>
    <w:rsid w:val="0038021F"/>
    <w:rsid w:val="00381688"/>
    <w:rsid w:val="00386325"/>
    <w:rsid w:val="00390153"/>
    <w:rsid w:val="0039391A"/>
    <w:rsid w:val="00395ABF"/>
    <w:rsid w:val="003A1BD5"/>
    <w:rsid w:val="003A7E25"/>
    <w:rsid w:val="003B1AB2"/>
    <w:rsid w:val="003B6C72"/>
    <w:rsid w:val="003B75C2"/>
    <w:rsid w:val="003C0BC3"/>
    <w:rsid w:val="003C2890"/>
    <w:rsid w:val="003C418A"/>
    <w:rsid w:val="003C4AC8"/>
    <w:rsid w:val="003C5583"/>
    <w:rsid w:val="003D0595"/>
    <w:rsid w:val="003D0643"/>
    <w:rsid w:val="003D37F2"/>
    <w:rsid w:val="003D4F79"/>
    <w:rsid w:val="003D5DBD"/>
    <w:rsid w:val="003D6250"/>
    <w:rsid w:val="003E039E"/>
    <w:rsid w:val="003E748C"/>
    <w:rsid w:val="003F179C"/>
    <w:rsid w:val="003F23E6"/>
    <w:rsid w:val="003F38CC"/>
    <w:rsid w:val="003F4A78"/>
    <w:rsid w:val="003F6888"/>
    <w:rsid w:val="00404AFD"/>
    <w:rsid w:val="004063F9"/>
    <w:rsid w:val="00406438"/>
    <w:rsid w:val="00407C45"/>
    <w:rsid w:val="004172BC"/>
    <w:rsid w:val="00423473"/>
    <w:rsid w:val="004237EB"/>
    <w:rsid w:val="004248F5"/>
    <w:rsid w:val="004254DA"/>
    <w:rsid w:val="0042618C"/>
    <w:rsid w:val="00426C2B"/>
    <w:rsid w:val="0043032A"/>
    <w:rsid w:val="00433B49"/>
    <w:rsid w:val="00434176"/>
    <w:rsid w:val="00436688"/>
    <w:rsid w:val="00440234"/>
    <w:rsid w:val="00444DB9"/>
    <w:rsid w:val="004556CB"/>
    <w:rsid w:val="0046594F"/>
    <w:rsid w:val="00467FFD"/>
    <w:rsid w:val="00470EA5"/>
    <w:rsid w:val="00471E39"/>
    <w:rsid w:val="00472695"/>
    <w:rsid w:val="004807CC"/>
    <w:rsid w:val="0048156A"/>
    <w:rsid w:val="00482868"/>
    <w:rsid w:val="00484C61"/>
    <w:rsid w:val="00486398"/>
    <w:rsid w:val="00494AE2"/>
    <w:rsid w:val="004964B7"/>
    <w:rsid w:val="004A199F"/>
    <w:rsid w:val="004A2A1D"/>
    <w:rsid w:val="004A4629"/>
    <w:rsid w:val="004A54AE"/>
    <w:rsid w:val="004B0717"/>
    <w:rsid w:val="004C0069"/>
    <w:rsid w:val="004C52FF"/>
    <w:rsid w:val="004C56DE"/>
    <w:rsid w:val="004D2312"/>
    <w:rsid w:val="004D5D44"/>
    <w:rsid w:val="004E0BBB"/>
    <w:rsid w:val="004E1055"/>
    <w:rsid w:val="004E121B"/>
    <w:rsid w:val="004E2552"/>
    <w:rsid w:val="004E361A"/>
    <w:rsid w:val="004E6910"/>
    <w:rsid w:val="004F0473"/>
    <w:rsid w:val="004F0ECA"/>
    <w:rsid w:val="004F1E68"/>
    <w:rsid w:val="004F2FB9"/>
    <w:rsid w:val="00502B4F"/>
    <w:rsid w:val="005102C9"/>
    <w:rsid w:val="00510C85"/>
    <w:rsid w:val="00511396"/>
    <w:rsid w:val="00517699"/>
    <w:rsid w:val="00520DBB"/>
    <w:rsid w:val="0052106B"/>
    <w:rsid w:val="00527A5A"/>
    <w:rsid w:val="005326FA"/>
    <w:rsid w:val="00535E0F"/>
    <w:rsid w:val="0053703F"/>
    <w:rsid w:val="00547E24"/>
    <w:rsid w:val="005504A9"/>
    <w:rsid w:val="005514CF"/>
    <w:rsid w:val="00554C30"/>
    <w:rsid w:val="005559D8"/>
    <w:rsid w:val="005570A5"/>
    <w:rsid w:val="00560198"/>
    <w:rsid w:val="00566C95"/>
    <w:rsid w:val="005677D3"/>
    <w:rsid w:val="0057022A"/>
    <w:rsid w:val="005717CD"/>
    <w:rsid w:val="00571BDC"/>
    <w:rsid w:val="005727E9"/>
    <w:rsid w:val="00572E17"/>
    <w:rsid w:val="00572EF5"/>
    <w:rsid w:val="00573412"/>
    <w:rsid w:val="00573689"/>
    <w:rsid w:val="00576EB9"/>
    <w:rsid w:val="005770DC"/>
    <w:rsid w:val="005812E3"/>
    <w:rsid w:val="00581BDF"/>
    <w:rsid w:val="00582C02"/>
    <w:rsid w:val="00592A81"/>
    <w:rsid w:val="00596F4C"/>
    <w:rsid w:val="005A17ED"/>
    <w:rsid w:val="005A4473"/>
    <w:rsid w:val="005B4B37"/>
    <w:rsid w:val="005B5F9C"/>
    <w:rsid w:val="005C275F"/>
    <w:rsid w:val="005C7D14"/>
    <w:rsid w:val="005D2BE6"/>
    <w:rsid w:val="005E2026"/>
    <w:rsid w:val="005E2E51"/>
    <w:rsid w:val="005E3114"/>
    <w:rsid w:val="005E5884"/>
    <w:rsid w:val="005E5CE8"/>
    <w:rsid w:val="005E695D"/>
    <w:rsid w:val="005F2891"/>
    <w:rsid w:val="005F308A"/>
    <w:rsid w:val="005F326D"/>
    <w:rsid w:val="005F3B4A"/>
    <w:rsid w:val="005F427F"/>
    <w:rsid w:val="005F4B21"/>
    <w:rsid w:val="005F58E7"/>
    <w:rsid w:val="00601BE8"/>
    <w:rsid w:val="00601FE5"/>
    <w:rsid w:val="006114C7"/>
    <w:rsid w:val="00612790"/>
    <w:rsid w:val="00616315"/>
    <w:rsid w:val="0061644A"/>
    <w:rsid w:val="006175CD"/>
    <w:rsid w:val="006255C8"/>
    <w:rsid w:val="006265AA"/>
    <w:rsid w:val="00636537"/>
    <w:rsid w:val="00642D87"/>
    <w:rsid w:val="00644214"/>
    <w:rsid w:val="00644D6B"/>
    <w:rsid w:val="00645782"/>
    <w:rsid w:val="00645C48"/>
    <w:rsid w:val="00647ACD"/>
    <w:rsid w:val="00651575"/>
    <w:rsid w:val="00652A28"/>
    <w:rsid w:val="00652B91"/>
    <w:rsid w:val="0065668B"/>
    <w:rsid w:val="006603B4"/>
    <w:rsid w:val="00663B80"/>
    <w:rsid w:val="0066718F"/>
    <w:rsid w:val="00667353"/>
    <w:rsid w:val="006717A2"/>
    <w:rsid w:val="00677BF3"/>
    <w:rsid w:val="0068154F"/>
    <w:rsid w:val="006839B4"/>
    <w:rsid w:val="0068568C"/>
    <w:rsid w:val="006879A2"/>
    <w:rsid w:val="00697618"/>
    <w:rsid w:val="006A075C"/>
    <w:rsid w:val="006B07F0"/>
    <w:rsid w:val="006B1C6C"/>
    <w:rsid w:val="006B2399"/>
    <w:rsid w:val="006B4E53"/>
    <w:rsid w:val="006B5431"/>
    <w:rsid w:val="006C06F0"/>
    <w:rsid w:val="006C13C4"/>
    <w:rsid w:val="006C546A"/>
    <w:rsid w:val="006C549A"/>
    <w:rsid w:val="006C6852"/>
    <w:rsid w:val="006C70CF"/>
    <w:rsid w:val="006D1269"/>
    <w:rsid w:val="006D3FB1"/>
    <w:rsid w:val="006E17A7"/>
    <w:rsid w:val="006E217E"/>
    <w:rsid w:val="006E2DD9"/>
    <w:rsid w:val="006E4241"/>
    <w:rsid w:val="006E690B"/>
    <w:rsid w:val="006E741E"/>
    <w:rsid w:val="006F0F02"/>
    <w:rsid w:val="006F141D"/>
    <w:rsid w:val="006F46BB"/>
    <w:rsid w:val="006F7601"/>
    <w:rsid w:val="00701485"/>
    <w:rsid w:val="007028EF"/>
    <w:rsid w:val="00705F2D"/>
    <w:rsid w:val="00710FDF"/>
    <w:rsid w:val="00713348"/>
    <w:rsid w:val="007152C4"/>
    <w:rsid w:val="00715BC2"/>
    <w:rsid w:val="00723C09"/>
    <w:rsid w:val="0072475B"/>
    <w:rsid w:val="00725AE2"/>
    <w:rsid w:val="00725EAC"/>
    <w:rsid w:val="00726E21"/>
    <w:rsid w:val="007278C0"/>
    <w:rsid w:val="0073164B"/>
    <w:rsid w:val="00732991"/>
    <w:rsid w:val="00734996"/>
    <w:rsid w:val="00736EF5"/>
    <w:rsid w:val="007424DC"/>
    <w:rsid w:val="00743753"/>
    <w:rsid w:val="007450E3"/>
    <w:rsid w:val="007465DD"/>
    <w:rsid w:val="007471EE"/>
    <w:rsid w:val="0075457B"/>
    <w:rsid w:val="007551C1"/>
    <w:rsid w:val="00755EF1"/>
    <w:rsid w:val="007561ED"/>
    <w:rsid w:val="00761963"/>
    <w:rsid w:val="00761E2D"/>
    <w:rsid w:val="00762184"/>
    <w:rsid w:val="007660A5"/>
    <w:rsid w:val="0076648A"/>
    <w:rsid w:val="0077199D"/>
    <w:rsid w:val="007724B0"/>
    <w:rsid w:val="00772A75"/>
    <w:rsid w:val="007805DD"/>
    <w:rsid w:val="00791F8A"/>
    <w:rsid w:val="00793CEA"/>
    <w:rsid w:val="00794E46"/>
    <w:rsid w:val="007A001F"/>
    <w:rsid w:val="007A530C"/>
    <w:rsid w:val="007A6E54"/>
    <w:rsid w:val="007B0768"/>
    <w:rsid w:val="007B5939"/>
    <w:rsid w:val="007B61B1"/>
    <w:rsid w:val="007B716D"/>
    <w:rsid w:val="007C08B3"/>
    <w:rsid w:val="007C1602"/>
    <w:rsid w:val="007C1BC0"/>
    <w:rsid w:val="007C49CE"/>
    <w:rsid w:val="007D481C"/>
    <w:rsid w:val="007D6C37"/>
    <w:rsid w:val="007D6C44"/>
    <w:rsid w:val="007D6F35"/>
    <w:rsid w:val="007E49CF"/>
    <w:rsid w:val="007E666E"/>
    <w:rsid w:val="007F32FF"/>
    <w:rsid w:val="007F4743"/>
    <w:rsid w:val="007F49F8"/>
    <w:rsid w:val="00800593"/>
    <w:rsid w:val="008006B1"/>
    <w:rsid w:val="008038A8"/>
    <w:rsid w:val="00805E89"/>
    <w:rsid w:val="00807231"/>
    <w:rsid w:val="00810C2E"/>
    <w:rsid w:val="00812E44"/>
    <w:rsid w:val="0081482B"/>
    <w:rsid w:val="00823D25"/>
    <w:rsid w:val="0082508A"/>
    <w:rsid w:val="00827608"/>
    <w:rsid w:val="00830967"/>
    <w:rsid w:val="008328C3"/>
    <w:rsid w:val="00832F3F"/>
    <w:rsid w:val="00833E7B"/>
    <w:rsid w:val="00836BCC"/>
    <w:rsid w:val="00836BD9"/>
    <w:rsid w:val="00837829"/>
    <w:rsid w:val="00837840"/>
    <w:rsid w:val="00843CD2"/>
    <w:rsid w:val="00843CDC"/>
    <w:rsid w:val="00844293"/>
    <w:rsid w:val="00844ED1"/>
    <w:rsid w:val="008453A7"/>
    <w:rsid w:val="0084705C"/>
    <w:rsid w:val="0085666D"/>
    <w:rsid w:val="00857BE1"/>
    <w:rsid w:val="00857CF5"/>
    <w:rsid w:val="008616D2"/>
    <w:rsid w:val="00866035"/>
    <w:rsid w:val="008703B9"/>
    <w:rsid w:val="00872585"/>
    <w:rsid w:val="00872BC7"/>
    <w:rsid w:val="0087338E"/>
    <w:rsid w:val="0087355C"/>
    <w:rsid w:val="00874B68"/>
    <w:rsid w:val="00875138"/>
    <w:rsid w:val="008756B4"/>
    <w:rsid w:val="008811EA"/>
    <w:rsid w:val="008859A3"/>
    <w:rsid w:val="008A4221"/>
    <w:rsid w:val="008A572F"/>
    <w:rsid w:val="008A6896"/>
    <w:rsid w:val="008A7033"/>
    <w:rsid w:val="008B40FE"/>
    <w:rsid w:val="008B62C6"/>
    <w:rsid w:val="008B69AE"/>
    <w:rsid w:val="008C0293"/>
    <w:rsid w:val="008C05E9"/>
    <w:rsid w:val="008C704D"/>
    <w:rsid w:val="008D0108"/>
    <w:rsid w:val="008D633E"/>
    <w:rsid w:val="008D72E4"/>
    <w:rsid w:val="008E0EFB"/>
    <w:rsid w:val="008E4713"/>
    <w:rsid w:val="008F165B"/>
    <w:rsid w:val="008F36C2"/>
    <w:rsid w:val="008F4DAB"/>
    <w:rsid w:val="008F5D21"/>
    <w:rsid w:val="008F6898"/>
    <w:rsid w:val="00902A10"/>
    <w:rsid w:val="00903329"/>
    <w:rsid w:val="00903D87"/>
    <w:rsid w:val="00906484"/>
    <w:rsid w:val="00910A44"/>
    <w:rsid w:val="00910FA2"/>
    <w:rsid w:val="0091509C"/>
    <w:rsid w:val="00921C0A"/>
    <w:rsid w:val="00922259"/>
    <w:rsid w:val="00930326"/>
    <w:rsid w:val="00936409"/>
    <w:rsid w:val="009417DA"/>
    <w:rsid w:val="00944964"/>
    <w:rsid w:val="00944CF4"/>
    <w:rsid w:val="0095039C"/>
    <w:rsid w:val="00950593"/>
    <w:rsid w:val="00950A47"/>
    <w:rsid w:val="009514BA"/>
    <w:rsid w:val="009544F7"/>
    <w:rsid w:val="0095489B"/>
    <w:rsid w:val="00961493"/>
    <w:rsid w:val="00962109"/>
    <w:rsid w:val="00966A8B"/>
    <w:rsid w:val="009714B1"/>
    <w:rsid w:val="00972D34"/>
    <w:rsid w:val="0097316C"/>
    <w:rsid w:val="0097403C"/>
    <w:rsid w:val="009773ED"/>
    <w:rsid w:val="0097795B"/>
    <w:rsid w:val="00981593"/>
    <w:rsid w:val="00992963"/>
    <w:rsid w:val="00992DEC"/>
    <w:rsid w:val="00996379"/>
    <w:rsid w:val="009A2FE2"/>
    <w:rsid w:val="009A5025"/>
    <w:rsid w:val="009A5096"/>
    <w:rsid w:val="009A5763"/>
    <w:rsid w:val="009B00B4"/>
    <w:rsid w:val="009B1F2B"/>
    <w:rsid w:val="009B4438"/>
    <w:rsid w:val="009B58D7"/>
    <w:rsid w:val="009B785B"/>
    <w:rsid w:val="009C039B"/>
    <w:rsid w:val="009C5C0B"/>
    <w:rsid w:val="009D1B8E"/>
    <w:rsid w:val="009D30F0"/>
    <w:rsid w:val="009D4B74"/>
    <w:rsid w:val="009D7F6B"/>
    <w:rsid w:val="009E102C"/>
    <w:rsid w:val="009E347E"/>
    <w:rsid w:val="009E4271"/>
    <w:rsid w:val="009E449A"/>
    <w:rsid w:val="009E7C37"/>
    <w:rsid w:val="009F5A00"/>
    <w:rsid w:val="00A00699"/>
    <w:rsid w:val="00A00A1A"/>
    <w:rsid w:val="00A064E7"/>
    <w:rsid w:val="00A07E10"/>
    <w:rsid w:val="00A148BA"/>
    <w:rsid w:val="00A203E7"/>
    <w:rsid w:val="00A23908"/>
    <w:rsid w:val="00A258DD"/>
    <w:rsid w:val="00A30BD1"/>
    <w:rsid w:val="00A32869"/>
    <w:rsid w:val="00A35423"/>
    <w:rsid w:val="00A367D0"/>
    <w:rsid w:val="00A37765"/>
    <w:rsid w:val="00A45C0E"/>
    <w:rsid w:val="00A52875"/>
    <w:rsid w:val="00A55F70"/>
    <w:rsid w:val="00A62DEF"/>
    <w:rsid w:val="00A63891"/>
    <w:rsid w:val="00A64342"/>
    <w:rsid w:val="00A64387"/>
    <w:rsid w:val="00A66B6A"/>
    <w:rsid w:val="00A7052C"/>
    <w:rsid w:val="00A7173D"/>
    <w:rsid w:val="00A719E2"/>
    <w:rsid w:val="00A72BE4"/>
    <w:rsid w:val="00A73C60"/>
    <w:rsid w:val="00A74DDD"/>
    <w:rsid w:val="00A77252"/>
    <w:rsid w:val="00A77963"/>
    <w:rsid w:val="00A825F4"/>
    <w:rsid w:val="00A87A48"/>
    <w:rsid w:val="00AA1E72"/>
    <w:rsid w:val="00AA2297"/>
    <w:rsid w:val="00AA45CE"/>
    <w:rsid w:val="00AA48ED"/>
    <w:rsid w:val="00AA61E1"/>
    <w:rsid w:val="00AB3130"/>
    <w:rsid w:val="00AB31D6"/>
    <w:rsid w:val="00AB6D79"/>
    <w:rsid w:val="00AC2C6E"/>
    <w:rsid w:val="00AC332E"/>
    <w:rsid w:val="00AC3907"/>
    <w:rsid w:val="00AC69B3"/>
    <w:rsid w:val="00AD3BBF"/>
    <w:rsid w:val="00AD3D5C"/>
    <w:rsid w:val="00AE1D86"/>
    <w:rsid w:val="00AE236B"/>
    <w:rsid w:val="00AE3243"/>
    <w:rsid w:val="00AE35FA"/>
    <w:rsid w:val="00AE4893"/>
    <w:rsid w:val="00AE4C2E"/>
    <w:rsid w:val="00AE5D90"/>
    <w:rsid w:val="00AE61BD"/>
    <w:rsid w:val="00AE6507"/>
    <w:rsid w:val="00AE7E65"/>
    <w:rsid w:val="00AF0985"/>
    <w:rsid w:val="00AF1632"/>
    <w:rsid w:val="00AF6D8A"/>
    <w:rsid w:val="00B00A2D"/>
    <w:rsid w:val="00B07447"/>
    <w:rsid w:val="00B132EA"/>
    <w:rsid w:val="00B135F1"/>
    <w:rsid w:val="00B17353"/>
    <w:rsid w:val="00B17699"/>
    <w:rsid w:val="00B17D3A"/>
    <w:rsid w:val="00B23B70"/>
    <w:rsid w:val="00B24712"/>
    <w:rsid w:val="00B25B9D"/>
    <w:rsid w:val="00B27425"/>
    <w:rsid w:val="00B356AA"/>
    <w:rsid w:val="00B41B6D"/>
    <w:rsid w:val="00B4324D"/>
    <w:rsid w:val="00B43447"/>
    <w:rsid w:val="00B44F8D"/>
    <w:rsid w:val="00B5134B"/>
    <w:rsid w:val="00B516DE"/>
    <w:rsid w:val="00B5265F"/>
    <w:rsid w:val="00B5307E"/>
    <w:rsid w:val="00B558BB"/>
    <w:rsid w:val="00B55F3F"/>
    <w:rsid w:val="00B62D2A"/>
    <w:rsid w:val="00B64892"/>
    <w:rsid w:val="00B73101"/>
    <w:rsid w:val="00B80FC1"/>
    <w:rsid w:val="00B82C13"/>
    <w:rsid w:val="00B87038"/>
    <w:rsid w:val="00B913B9"/>
    <w:rsid w:val="00B9162A"/>
    <w:rsid w:val="00B935BF"/>
    <w:rsid w:val="00B95D4C"/>
    <w:rsid w:val="00B96EC5"/>
    <w:rsid w:val="00B96F66"/>
    <w:rsid w:val="00B9745C"/>
    <w:rsid w:val="00BA03B7"/>
    <w:rsid w:val="00BA16D4"/>
    <w:rsid w:val="00BA24F5"/>
    <w:rsid w:val="00BA324E"/>
    <w:rsid w:val="00BA6B09"/>
    <w:rsid w:val="00BA7BF1"/>
    <w:rsid w:val="00BA7C9C"/>
    <w:rsid w:val="00BA7F41"/>
    <w:rsid w:val="00BB1CA3"/>
    <w:rsid w:val="00BB4734"/>
    <w:rsid w:val="00BB5938"/>
    <w:rsid w:val="00BB616E"/>
    <w:rsid w:val="00BC3010"/>
    <w:rsid w:val="00BC4436"/>
    <w:rsid w:val="00BC588A"/>
    <w:rsid w:val="00BE00C7"/>
    <w:rsid w:val="00BE0439"/>
    <w:rsid w:val="00BE74DF"/>
    <w:rsid w:val="00BF1F29"/>
    <w:rsid w:val="00BF2BE4"/>
    <w:rsid w:val="00BF5B62"/>
    <w:rsid w:val="00BF73C5"/>
    <w:rsid w:val="00C02486"/>
    <w:rsid w:val="00C02D6A"/>
    <w:rsid w:val="00C07443"/>
    <w:rsid w:val="00C07D22"/>
    <w:rsid w:val="00C10868"/>
    <w:rsid w:val="00C11424"/>
    <w:rsid w:val="00C159C9"/>
    <w:rsid w:val="00C16B28"/>
    <w:rsid w:val="00C17666"/>
    <w:rsid w:val="00C21218"/>
    <w:rsid w:val="00C23D77"/>
    <w:rsid w:val="00C2622B"/>
    <w:rsid w:val="00C32DA4"/>
    <w:rsid w:val="00C33473"/>
    <w:rsid w:val="00C33EF0"/>
    <w:rsid w:val="00C34698"/>
    <w:rsid w:val="00C34960"/>
    <w:rsid w:val="00C37D16"/>
    <w:rsid w:val="00C41430"/>
    <w:rsid w:val="00C47448"/>
    <w:rsid w:val="00C50E45"/>
    <w:rsid w:val="00C540E7"/>
    <w:rsid w:val="00C5490E"/>
    <w:rsid w:val="00C57792"/>
    <w:rsid w:val="00C6246A"/>
    <w:rsid w:val="00C62C1A"/>
    <w:rsid w:val="00C6699C"/>
    <w:rsid w:val="00C67A70"/>
    <w:rsid w:val="00C67AE2"/>
    <w:rsid w:val="00C67D56"/>
    <w:rsid w:val="00C75F73"/>
    <w:rsid w:val="00C761C3"/>
    <w:rsid w:val="00C76470"/>
    <w:rsid w:val="00C7654C"/>
    <w:rsid w:val="00C76B9E"/>
    <w:rsid w:val="00C76C43"/>
    <w:rsid w:val="00C76E10"/>
    <w:rsid w:val="00C807F6"/>
    <w:rsid w:val="00C80BBE"/>
    <w:rsid w:val="00C81F58"/>
    <w:rsid w:val="00C93B66"/>
    <w:rsid w:val="00C94017"/>
    <w:rsid w:val="00C942FF"/>
    <w:rsid w:val="00C964F3"/>
    <w:rsid w:val="00CA5307"/>
    <w:rsid w:val="00CA587B"/>
    <w:rsid w:val="00CA7760"/>
    <w:rsid w:val="00CA7A50"/>
    <w:rsid w:val="00CB2DB8"/>
    <w:rsid w:val="00CB3CB7"/>
    <w:rsid w:val="00CB5300"/>
    <w:rsid w:val="00CB6FE8"/>
    <w:rsid w:val="00CB76E6"/>
    <w:rsid w:val="00CC13A7"/>
    <w:rsid w:val="00CC2437"/>
    <w:rsid w:val="00CC39D0"/>
    <w:rsid w:val="00CC6EE1"/>
    <w:rsid w:val="00CC77FF"/>
    <w:rsid w:val="00CD15EE"/>
    <w:rsid w:val="00CD54DA"/>
    <w:rsid w:val="00CD624A"/>
    <w:rsid w:val="00CE03A1"/>
    <w:rsid w:val="00CE187F"/>
    <w:rsid w:val="00CE5183"/>
    <w:rsid w:val="00CF179C"/>
    <w:rsid w:val="00CF5CBE"/>
    <w:rsid w:val="00D01468"/>
    <w:rsid w:val="00D01DF9"/>
    <w:rsid w:val="00D02B46"/>
    <w:rsid w:val="00D03F2C"/>
    <w:rsid w:val="00D043B3"/>
    <w:rsid w:val="00D11AEE"/>
    <w:rsid w:val="00D121D3"/>
    <w:rsid w:val="00D16CC8"/>
    <w:rsid w:val="00D236BF"/>
    <w:rsid w:val="00D23D59"/>
    <w:rsid w:val="00D259F9"/>
    <w:rsid w:val="00D2694B"/>
    <w:rsid w:val="00D3187A"/>
    <w:rsid w:val="00D31890"/>
    <w:rsid w:val="00D32763"/>
    <w:rsid w:val="00D3454A"/>
    <w:rsid w:val="00D34C6D"/>
    <w:rsid w:val="00D361B7"/>
    <w:rsid w:val="00D36A1C"/>
    <w:rsid w:val="00D4030E"/>
    <w:rsid w:val="00D454C2"/>
    <w:rsid w:val="00D46F54"/>
    <w:rsid w:val="00D46FD8"/>
    <w:rsid w:val="00D5224D"/>
    <w:rsid w:val="00D53A0F"/>
    <w:rsid w:val="00D54BF3"/>
    <w:rsid w:val="00D555AD"/>
    <w:rsid w:val="00D56DC0"/>
    <w:rsid w:val="00D620E5"/>
    <w:rsid w:val="00D6494F"/>
    <w:rsid w:val="00D656CB"/>
    <w:rsid w:val="00D66AF5"/>
    <w:rsid w:val="00D66BFB"/>
    <w:rsid w:val="00D67FF5"/>
    <w:rsid w:val="00D70271"/>
    <w:rsid w:val="00D749B0"/>
    <w:rsid w:val="00D8092E"/>
    <w:rsid w:val="00D82311"/>
    <w:rsid w:val="00D82D98"/>
    <w:rsid w:val="00D852D9"/>
    <w:rsid w:val="00D85492"/>
    <w:rsid w:val="00D862E1"/>
    <w:rsid w:val="00D92D64"/>
    <w:rsid w:val="00D958AF"/>
    <w:rsid w:val="00D95E6F"/>
    <w:rsid w:val="00D96706"/>
    <w:rsid w:val="00DA1A43"/>
    <w:rsid w:val="00DA47EA"/>
    <w:rsid w:val="00DA5C74"/>
    <w:rsid w:val="00DA6F23"/>
    <w:rsid w:val="00DB1A38"/>
    <w:rsid w:val="00DB471D"/>
    <w:rsid w:val="00DB56CF"/>
    <w:rsid w:val="00DC0FAB"/>
    <w:rsid w:val="00DC13BE"/>
    <w:rsid w:val="00DC4EAE"/>
    <w:rsid w:val="00DC541B"/>
    <w:rsid w:val="00DD5A42"/>
    <w:rsid w:val="00DE2745"/>
    <w:rsid w:val="00DE4EA1"/>
    <w:rsid w:val="00DF0902"/>
    <w:rsid w:val="00DF1517"/>
    <w:rsid w:val="00DF381B"/>
    <w:rsid w:val="00DF5B93"/>
    <w:rsid w:val="00E00849"/>
    <w:rsid w:val="00E053D9"/>
    <w:rsid w:val="00E05701"/>
    <w:rsid w:val="00E165D7"/>
    <w:rsid w:val="00E166A0"/>
    <w:rsid w:val="00E16E90"/>
    <w:rsid w:val="00E24307"/>
    <w:rsid w:val="00E26289"/>
    <w:rsid w:val="00E26E78"/>
    <w:rsid w:val="00E270F6"/>
    <w:rsid w:val="00E27E4F"/>
    <w:rsid w:val="00E3158A"/>
    <w:rsid w:val="00E332AC"/>
    <w:rsid w:val="00E33B6E"/>
    <w:rsid w:val="00E34317"/>
    <w:rsid w:val="00E346FE"/>
    <w:rsid w:val="00E456C3"/>
    <w:rsid w:val="00E460A8"/>
    <w:rsid w:val="00E4789C"/>
    <w:rsid w:val="00E50257"/>
    <w:rsid w:val="00E515E2"/>
    <w:rsid w:val="00E51A1D"/>
    <w:rsid w:val="00E5498A"/>
    <w:rsid w:val="00E57D46"/>
    <w:rsid w:val="00E57D89"/>
    <w:rsid w:val="00E612C4"/>
    <w:rsid w:val="00E6574A"/>
    <w:rsid w:val="00E6734B"/>
    <w:rsid w:val="00E673B7"/>
    <w:rsid w:val="00E73CCF"/>
    <w:rsid w:val="00E83808"/>
    <w:rsid w:val="00E83D3D"/>
    <w:rsid w:val="00E9286E"/>
    <w:rsid w:val="00EA04F0"/>
    <w:rsid w:val="00EA2836"/>
    <w:rsid w:val="00EA465C"/>
    <w:rsid w:val="00EB015A"/>
    <w:rsid w:val="00EB1D28"/>
    <w:rsid w:val="00EB1D54"/>
    <w:rsid w:val="00EC04B3"/>
    <w:rsid w:val="00EC149E"/>
    <w:rsid w:val="00EC4837"/>
    <w:rsid w:val="00EC6250"/>
    <w:rsid w:val="00ED2E33"/>
    <w:rsid w:val="00ED3CE7"/>
    <w:rsid w:val="00ED496A"/>
    <w:rsid w:val="00ED5BDC"/>
    <w:rsid w:val="00ED642A"/>
    <w:rsid w:val="00ED69C3"/>
    <w:rsid w:val="00EE172E"/>
    <w:rsid w:val="00EE35EF"/>
    <w:rsid w:val="00EE4A18"/>
    <w:rsid w:val="00EF01C4"/>
    <w:rsid w:val="00EF69D6"/>
    <w:rsid w:val="00F06C03"/>
    <w:rsid w:val="00F10C78"/>
    <w:rsid w:val="00F1303C"/>
    <w:rsid w:val="00F1375A"/>
    <w:rsid w:val="00F141FA"/>
    <w:rsid w:val="00F143B7"/>
    <w:rsid w:val="00F16D02"/>
    <w:rsid w:val="00F202AC"/>
    <w:rsid w:val="00F208B2"/>
    <w:rsid w:val="00F2200C"/>
    <w:rsid w:val="00F22372"/>
    <w:rsid w:val="00F232C8"/>
    <w:rsid w:val="00F23A41"/>
    <w:rsid w:val="00F23C60"/>
    <w:rsid w:val="00F24A9A"/>
    <w:rsid w:val="00F264E9"/>
    <w:rsid w:val="00F27DE4"/>
    <w:rsid w:val="00F32154"/>
    <w:rsid w:val="00F40AF1"/>
    <w:rsid w:val="00F419DC"/>
    <w:rsid w:val="00F423F8"/>
    <w:rsid w:val="00F44FC3"/>
    <w:rsid w:val="00F454C9"/>
    <w:rsid w:val="00F45AFA"/>
    <w:rsid w:val="00F46968"/>
    <w:rsid w:val="00F47770"/>
    <w:rsid w:val="00F5516F"/>
    <w:rsid w:val="00F6083A"/>
    <w:rsid w:val="00F62340"/>
    <w:rsid w:val="00F62D91"/>
    <w:rsid w:val="00F639A8"/>
    <w:rsid w:val="00F63E20"/>
    <w:rsid w:val="00F65096"/>
    <w:rsid w:val="00F67FAC"/>
    <w:rsid w:val="00F709A6"/>
    <w:rsid w:val="00F70CB9"/>
    <w:rsid w:val="00F72001"/>
    <w:rsid w:val="00F76BE0"/>
    <w:rsid w:val="00F82151"/>
    <w:rsid w:val="00F93F9C"/>
    <w:rsid w:val="00F94397"/>
    <w:rsid w:val="00FA54BC"/>
    <w:rsid w:val="00FB1530"/>
    <w:rsid w:val="00FB19EC"/>
    <w:rsid w:val="00FB27B4"/>
    <w:rsid w:val="00FB4640"/>
    <w:rsid w:val="00FC3094"/>
    <w:rsid w:val="00FC315D"/>
    <w:rsid w:val="00FC372D"/>
    <w:rsid w:val="00FC4AB0"/>
    <w:rsid w:val="00FC4C99"/>
    <w:rsid w:val="00FC63E1"/>
    <w:rsid w:val="00FC7602"/>
    <w:rsid w:val="00FD202C"/>
    <w:rsid w:val="00FE2149"/>
    <w:rsid w:val="00FE277F"/>
    <w:rsid w:val="00FE4BD5"/>
    <w:rsid w:val="00FF3F4A"/>
    <w:rsid w:val="00FF4BB3"/>
    <w:rsid w:val="00FF6122"/>
    <w:rsid w:val="00FF65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F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0EFB"/>
    <w:pPr>
      <w:ind w:left="720"/>
      <w:contextualSpacing/>
    </w:pPr>
  </w:style>
  <w:style w:type="paragraph" w:styleId="Textodenotaderodap">
    <w:name w:val="footnote text"/>
    <w:basedOn w:val="Normal"/>
    <w:link w:val="TextodenotaderodapChar"/>
    <w:semiHidden/>
    <w:rsid w:val="008811EA"/>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semiHidden/>
    <w:rsid w:val="008811EA"/>
    <w:rPr>
      <w:rFonts w:ascii="Times New Roman" w:eastAsia="Times New Roman" w:hAnsi="Times New Roman" w:cs="Times New Roman"/>
      <w:sz w:val="20"/>
      <w:szCs w:val="20"/>
      <w:lang w:val="x-none" w:eastAsia="pt-BR"/>
    </w:rPr>
  </w:style>
  <w:style w:type="table" w:styleId="Tabelacomgrade">
    <w:name w:val="Table Grid"/>
    <w:basedOn w:val="Tabelanormal"/>
    <w:uiPriority w:val="59"/>
    <w:rsid w:val="00881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semiHidden/>
    <w:unhideWhenUsed/>
    <w:rsid w:val="00C02486"/>
    <w:rPr>
      <w:vertAlign w:val="superscript"/>
    </w:rPr>
  </w:style>
  <w:style w:type="character" w:customStyle="1" w:styleId="longtext">
    <w:name w:val="long_text"/>
    <w:basedOn w:val="Fontepargpadro"/>
    <w:rsid w:val="00C02486"/>
  </w:style>
  <w:style w:type="paragraph" w:customStyle="1" w:styleId="ndice">
    <w:name w:val="Índice"/>
    <w:basedOn w:val="Normal"/>
    <w:rsid w:val="00502B4F"/>
    <w:pPr>
      <w:suppressLineNumbers/>
      <w:suppressAutoHyphens/>
      <w:spacing w:after="0" w:line="240" w:lineRule="auto"/>
    </w:pPr>
    <w:rPr>
      <w:rFonts w:ascii="Times New Roman" w:eastAsia="Times New Roman" w:hAnsi="Times New Roman" w:cs="Tahoma"/>
      <w:sz w:val="20"/>
      <w:szCs w:val="20"/>
      <w:lang w:eastAsia="ar-SA"/>
    </w:rPr>
  </w:style>
  <w:style w:type="paragraph" w:styleId="Textodebalo">
    <w:name w:val="Balloon Text"/>
    <w:basedOn w:val="Normal"/>
    <w:link w:val="TextodebaloChar"/>
    <w:uiPriority w:val="99"/>
    <w:semiHidden/>
    <w:unhideWhenUsed/>
    <w:rsid w:val="00502B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B4F"/>
    <w:rPr>
      <w:rFonts w:ascii="Tahoma" w:eastAsia="Calibri" w:hAnsi="Tahoma" w:cs="Tahoma"/>
      <w:sz w:val="16"/>
      <w:szCs w:val="16"/>
    </w:rPr>
  </w:style>
  <w:style w:type="paragraph" w:styleId="Textodenotadefim">
    <w:name w:val="endnote text"/>
    <w:basedOn w:val="Normal"/>
    <w:link w:val="TextodenotadefimChar"/>
    <w:uiPriority w:val="99"/>
    <w:semiHidden/>
    <w:unhideWhenUsed/>
    <w:rsid w:val="00950593"/>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basedOn w:val="Fontepargpadro"/>
    <w:link w:val="Textodenotadefim"/>
    <w:uiPriority w:val="99"/>
    <w:semiHidden/>
    <w:rsid w:val="0095059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950593"/>
    <w:rPr>
      <w:vertAlign w:val="superscript"/>
    </w:rPr>
  </w:style>
  <w:style w:type="paragraph" w:customStyle="1" w:styleId="TtulodeArtigo">
    <w:name w:val="Título de Artigo"/>
    <w:basedOn w:val="Normal"/>
    <w:link w:val="TtulodeArtigoChar"/>
    <w:qFormat/>
    <w:rsid w:val="00ED2E33"/>
    <w:pPr>
      <w:spacing w:after="0" w:line="240" w:lineRule="auto"/>
      <w:jc w:val="center"/>
    </w:pPr>
    <w:rPr>
      <w:rFonts w:ascii="Times New Roman" w:eastAsia="Times New Roman" w:hAnsi="Times New Roman"/>
      <w:b/>
      <w:smallCaps/>
      <w:sz w:val="28"/>
      <w:szCs w:val="28"/>
      <w:lang w:val="pt-PT" w:eastAsia="pt-BR"/>
    </w:rPr>
  </w:style>
  <w:style w:type="character" w:customStyle="1" w:styleId="TtulodeArtigoChar">
    <w:name w:val="Título de Artigo Char"/>
    <w:basedOn w:val="Fontepargpadro"/>
    <w:link w:val="TtulodeArtigo"/>
    <w:rsid w:val="00ED2E33"/>
    <w:rPr>
      <w:rFonts w:ascii="Times New Roman" w:eastAsia="Times New Roman" w:hAnsi="Times New Roman" w:cs="Times New Roman"/>
      <w:b/>
      <w:smallCaps/>
      <w:sz w:val="28"/>
      <w:szCs w:val="28"/>
      <w:lang w:val="pt-PT" w:eastAsia="pt-BR"/>
    </w:rPr>
  </w:style>
  <w:style w:type="paragraph" w:customStyle="1" w:styleId="Default">
    <w:name w:val="Default"/>
    <w:rsid w:val="00C2622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F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0EFB"/>
    <w:pPr>
      <w:ind w:left="720"/>
      <w:contextualSpacing/>
    </w:pPr>
  </w:style>
  <w:style w:type="paragraph" w:styleId="Textodenotaderodap">
    <w:name w:val="footnote text"/>
    <w:basedOn w:val="Normal"/>
    <w:link w:val="TextodenotaderodapChar"/>
    <w:semiHidden/>
    <w:rsid w:val="008811EA"/>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semiHidden/>
    <w:rsid w:val="008811EA"/>
    <w:rPr>
      <w:rFonts w:ascii="Times New Roman" w:eastAsia="Times New Roman" w:hAnsi="Times New Roman" w:cs="Times New Roman"/>
      <w:sz w:val="20"/>
      <w:szCs w:val="20"/>
      <w:lang w:val="x-none" w:eastAsia="pt-BR"/>
    </w:rPr>
  </w:style>
  <w:style w:type="table" w:styleId="Tabelacomgrade">
    <w:name w:val="Table Grid"/>
    <w:basedOn w:val="Tabelanormal"/>
    <w:uiPriority w:val="59"/>
    <w:rsid w:val="00881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semiHidden/>
    <w:unhideWhenUsed/>
    <w:rsid w:val="00C02486"/>
    <w:rPr>
      <w:vertAlign w:val="superscript"/>
    </w:rPr>
  </w:style>
  <w:style w:type="character" w:customStyle="1" w:styleId="longtext">
    <w:name w:val="long_text"/>
    <w:basedOn w:val="Fontepargpadro"/>
    <w:rsid w:val="00C02486"/>
  </w:style>
  <w:style w:type="paragraph" w:customStyle="1" w:styleId="ndice">
    <w:name w:val="Índice"/>
    <w:basedOn w:val="Normal"/>
    <w:rsid w:val="00502B4F"/>
    <w:pPr>
      <w:suppressLineNumbers/>
      <w:suppressAutoHyphens/>
      <w:spacing w:after="0" w:line="240" w:lineRule="auto"/>
    </w:pPr>
    <w:rPr>
      <w:rFonts w:ascii="Times New Roman" w:eastAsia="Times New Roman" w:hAnsi="Times New Roman" w:cs="Tahoma"/>
      <w:sz w:val="20"/>
      <w:szCs w:val="20"/>
      <w:lang w:eastAsia="ar-SA"/>
    </w:rPr>
  </w:style>
  <w:style w:type="paragraph" w:styleId="Textodebalo">
    <w:name w:val="Balloon Text"/>
    <w:basedOn w:val="Normal"/>
    <w:link w:val="TextodebaloChar"/>
    <w:uiPriority w:val="99"/>
    <w:semiHidden/>
    <w:unhideWhenUsed/>
    <w:rsid w:val="00502B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2B4F"/>
    <w:rPr>
      <w:rFonts w:ascii="Tahoma" w:eastAsia="Calibri" w:hAnsi="Tahoma" w:cs="Tahoma"/>
      <w:sz w:val="16"/>
      <w:szCs w:val="16"/>
    </w:rPr>
  </w:style>
  <w:style w:type="paragraph" w:styleId="Textodenotadefim">
    <w:name w:val="endnote text"/>
    <w:basedOn w:val="Normal"/>
    <w:link w:val="TextodenotadefimChar"/>
    <w:uiPriority w:val="99"/>
    <w:semiHidden/>
    <w:unhideWhenUsed/>
    <w:rsid w:val="00950593"/>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basedOn w:val="Fontepargpadro"/>
    <w:link w:val="Textodenotadefim"/>
    <w:uiPriority w:val="99"/>
    <w:semiHidden/>
    <w:rsid w:val="0095059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950593"/>
    <w:rPr>
      <w:vertAlign w:val="superscript"/>
    </w:rPr>
  </w:style>
  <w:style w:type="paragraph" w:customStyle="1" w:styleId="TtulodeArtigo">
    <w:name w:val="Título de Artigo"/>
    <w:basedOn w:val="Normal"/>
    <w:link w:val="TtulodeArtigoChar"/>
    <w:qFormat/>
    <w:rsid w:val="00ED2E33"/>
    <w:pPr>
      <w:spacing w:after="0" w:line="240" w:lineRule="auto"/>
      <w:jc w:val="center"/>
    </w:pPr>
    <w:rPr>
      <w:rFonts w:ascii="Times New Roman" w:eastAsia="Times New Roman" w:hAnsi="Times New Roman"/>
      <w:b/>
      <w:smallCaps/>
      <w:sz w:val="28"/>
      <w:szCs w:val="28"/>
      <w:lang w:val="pt-PT" w:eastAsia="pt-BR"/>
    </w:rPr>
  </w:style>
  <w:style w:type="character" w:customStyle="1" w:styleId="TtulodeArtigoChar">
    <w:name w:val="Título de Artigo Char"/>
    <w:basedOn w:val="Fontepargpadro"/>
    <w:link w:val="TtulodeArtigo"/>
    <w:rsid w:val="00ED2E33"/>
    <w:rPr>
      <w:rFonts w:ascii="Times New Roman" w:eastAsia="Times New Roman" w:hAnsi="Times New Roman" w:cs="Times New Roman"/>
      <w:b/>
      <w:smallCaps/>
      <w:sz w:val="28"/>
      <w:szCs w:val="28"/>
      <w:lang w:val="pt-PT" w:eastAsia="pt-BR"/>
    </w:rPr>
  </w:style>
  <w:style w:type="paragraph" w:customStyle="1" w:styleId="Default">
    <w:name w:val="Default"/>
    <w:rsid w:val="00C2622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3553">
      <w:bodyDiv w:val="1"/>
      <w:marLeft w:val="0"/>
      <w:marRight w:val="0"/>
      <w:marTop w:val="0"/>
      <w:marBottom w:val="0"/>
      <w:divBdr>
        <w:top w:val="none" w:sz="0" w:space="0" w:color="auto"/>
        <w:left w:val="none" w:sz="0" w:space="0" w:color="auto"/>
        <w:bottom w:val="none" w:sz="0" w:space="0" w:color="auto"/>
        <w:right w:val="none" w:sz="0" w:space="0" w:color="auto"/>
      </w:divBdr>
    </w:div>
    <w:div w:id="1021660981">
      <w:bodyDiv w:val="1"/>
      <w:marLeft w:val="0"/>
      <w:marRight w:val="0"/>
      <w:marTop w:val="0"/>
      <w:marBottom w:val="0"/>
      <w:divBdr>
        <w:top w:val="none" w:sz="0" w:space="0" w:color="auto"/>
        <w:left w:val="none" w:sz="0" w:space="0" w:color="auto"/>
        <w:bottom w:val="none" w:sz="0" w:space="0" w:color="auto"/>
        <w:right w:val="none" w:sz="0" w:space="0" w:color="auto"/>
      </w:divBdr>
    </w:div>
    <w:div w:id="1062559172">
      <w:bodyDiv w:val="1"/>
      <w:marLeft w:val="0"/>
      <w:marRight w:val="0"/>
      <w:marTop w:val="0"/>
      <w:marBottom w:val="0"/>
      <w:divBdr>
        <w:top w:val="none" w:sz="0" w:space="0" w:color="auto"/>
        <w:left w:val="none" w:sz="0" w:space="0" w:color="auto"/>
        <w:bottom w:val="none" w:sz="0" w:space="0" w:color="auto"/>
        <w:right w:val="none" w:sz="0" w:space="0" w:color="auto"/>
      </w:divBdr>
    </w:div>
    <w:div w:id="1143885173">
      <w:bodyDiv w:val="1"/>
      <w:marLeft w:val="0"/>
      <w:marRight w:val="0"/>
      <w:marTop w:val="0"/>
      <w:marBottom w:val="0"/>
      <w:divBdr>
        <w:top w:val="none" w:sz="0" w:space="0" w:color="auto"/>
        <w:left w:val="none" w:sz="0" w:space="0" w:color="auto"/>
        <w:bottom w:val="none" w:sz="0" w:space="0" w:color="auto"/>
        <w:right w:val="none" w:sz="0" w:space="0" w:color="auto"/>
      </w:divBdr>
    </w:div>
    <w:div w:id="19505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6BD1-0D4B-46EC-8EC3-20C28FD9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6589</Words>
  <Characters>35581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Elano</dc:creator>
  <cp:lastModifiedBy>çlkk</cp:lastModifiedBy>
  <cp:revision>2</cp:revision>
  <dcterms:created xsi:type="dcterms:W3CDTF">2015-08-10T14:20:00Z</dcterms:created>
  <dcterms:modified xsi:type="dcterms:W3CDTF">2015-08-10T14:20:00Z</dcterms:modified>
</cp:coreProperties>
</file>